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Tiruviśalūr, Śivayōganātha temple, Rājēndra-Chōḷa I, year 3</w:t>
      </w:r>
    </w:p>
    <w:p>
      <w:pPr>
        <w:pStyle w:val="Author"/>
      </w:pPr>
      <w:r>
        <w:t xml:space="preserve">Dorotea Operato</w:t>
      </w:r>
    </w:p>
    <w:p>
      <w:pPr>
        <w:pStyle w:val="FirstParagraph"/>
      </w:pPr>
      <w:r>
        <w:t xml:space="preserve">Author of digital edition: Dorotea Operato</w:t>
      </w:r>
    </w:p>
    <w:p>
      <w:pPr>
        <w:pStyle w:val="BodyText"/>
      </w:pPr>
      <w:r>
        <w:t xml:space="preserve">Identifier: DHARMA_INStfaSIIv23p0i0341</w:t>
      </w:r>
    </w:p>
    <w:p>
      <w:pPr>
        <w:pStyle w:val="BodyText"/>
      </w:pPr>
      <w:r>
        <w:t xml:space="preserve">Repository: SII adapted (tfa-sii-epigraphy)</w:t>
      </w:r>
    </w:p>
    <w:p>
      <w:pPr>
        <w:pStyle w:val="BodyText"/>
      </w:pPr>
      <w:r>
        <w:t xml:space="preserve">File path: DHARMA_INStfaSIIv23p0i0341.xml</w:t>
      </w:r>
    </w:p>
    <w:p>
      <w:pPr>
        <w:pStyle w:val="BodyText"/>
      </w:pPr>
      <w:r>
        <w:t xml:space="preserve">Language: Tamil [Grantha, Tamil]</w:t>
      </w:r>
    </w:p>
    <w:p>
      <w:pPr>
        <w:pStyle w:val="BodyText"/>
      </w:pPr>
      <w:r>
        <w:t xml:space="preserve">Commit: 2026-10-19 18:42 (65fc39d), last modified 2026-09-29 11:09 (1120f60)</w:t>
      </w:r>
    </w:p>
    <w:p>
      <w:pPr>
        <w:pStyle w:val="Heading1"/>
      </w:pPr>
      <w:r>
        <w:t xml:space="preserve">Summary</w:t>
      </w:r>
    </w:p>
    <w:p>
      <w:pPr>
        <w:pStyle w:val="FirstParagraph"/>
      </w:pPr>
      <w:r>
        <w:t xml:space="preserve">It records the construction of the</w:t>
      </w:r>
      <w:r>
        <w:t xml:space="preserve"> </w:t>
      </w:r>
      <w:r>
        <w:rPr>
          <w:i/>
          <w:iCs/>
        </w:rPr>
        <w:t xml:space="preserve">prākāra</w:t>
      </w:r>
      <w:r>
        <w:t xml:space="preserve"> </w:t>
      </w:r>
      <w:r>
        <w:t xml:space="preserve">(</w:t>
      </w:r>
      <w:r>
        <w:rPr>
          <w:i/>
          <w:iCs/>
        </w:rPr>
        <w:t xml:space="preserve">tiruchchuṟṟālayam</w:t>
      </w:r>
      <w:r>
        <w:t xml:space="preserve">) and the</w:t>
      </w:r>
      <w:r>
        <w:t xml:space="preserve"> </w:t>
      </w:r>
      <w:r>
        <w:rPr>
          <w:i/>
          <w:iCs/>
        </w:rPr>
        <w:t xml:space="preserve">gōpura</w:t>
      </w:r>
      <w:r>
        <w:t xml:space="preserve"> </w:t>
      </w:r>
      <w:r>
        <w:t xml:space="preserve">(in front) by the members of the</w:t>
      </w:r>
      <w:r>
        <w:t xml:space="preserve"> </w:t>
      </w:r>
      <w:r>
        <w:rPr>
          <w:i/>
          <w:iCs/>
        </w:rPr>
        <w:t xml:space="preserve">Valaṅgai-Vēḷaikkāṟa</w:t>
      </w:r>
      <w:r>
        <w:t xml:space="preserve"> </w:t>
      </w:r>
      <w:r>
        <w:t xml:space="preserve">body-guard regiment of the king; and also the consecration of some deity in a shrine.</w:t>
      </w:r>
    </w:p>
    <w:p>
      <w:r>
        <w:pict>
          <v:rect style="width:0;height:1.5pt" o:hralign="center" o:hrstd="t" o:hr="t"/>
        </w:pict>
      </w:r>
    </w:p>
    <w:p>
      <w:pPr>
        <w:pStyle w:val="Heading1"/>
      </w:pPr>
      <w:r>
        <w:t xml:space="preserve">Edition</w:t>
      </w:r>
    </w:p>
    <w:p>
      <w:pPr>
        <w:pStyle w:val="FirstParagraph"/>
      </w:pPr>
      <w:r>
        <w:rPr>
          <w:rStyle w:val="ColorGray"/>
        </w:rPr>
        <w:t xml:space="preserve"> </w:t>
      </w:r>
      <w:r>
        <w:rPr>
          <w:rStyle w:val="ColorGray"/>
        </w:rPr>
        <w:t xml:space="preserve">⟨1⟩</w:t>
      </w:r>
      <w:r>
        <w:rPr>
          <w:rStyle w:val="ColorGray"/>
        </w:rPr>
        <w:t xml:space="preserve"> </w:t>
      </w:r>
      <w:r>
        <w:rPr>
          <w:b/>
          <w:bCs/>
        </w:rPr>
        <w:t xml:space="preserve">svasti śrī</w:t>
      </w:r>
      <w:r>
        <w:t xml:space="preserve"> </w:t>
      </w:r>
      <w:r>
        <w:t xml:space="preserve">⟨∥⟩ k</w:t>
      </w:r>
      <w:r>
        <w:rPr>
          <w:rStyle w:val="ColorMagenta"/>
        </w:rPr>
        <w:t xml:space="preserve">¡o!</w:t>
      </w:r>
      <w:r>
        <w:rPr>
          <w:rStyle w:val="ColorBlue"/>
        </w:rPr>
        <w:t xml:space="preserve">⟨ō⟩</w:t>
      </w:r>
      <w:r>
        <w:t xml:space="preserve">-p-parak</w:t>
      </w:r>
      <w:r>
        <w:rPr>
          <w:rStyle w:val="ColorMagenta"/>
        </w:rPr>
        <w:t xml:space="preserve">¡e!</w:t>
      </w:r>
      <w:r>
        <w:rPr>
          <w:rStyle w:val="ColorBlue"/>
        </w:rPr>
        <w:t xml:space="preserve">⟨ē⟩</w:t>
      </w:r>
      <w:r>
        <w:t xml:space="preserve">cari-</w:t>
      </w:r>
      <w:r>
        <w:rPr>
          <w:b/>
          <w:bCs/>
        </w:rPr>
        <w:t xml:space="preserve">pa</w:t>
      </w:r>
      <w:r>
        <w:rPr>
          <w:rStyle w:val="ColorMagenta"/>
          <w:b/>
          <w:bCs/>
        </w:rPr>
        <w:t xml:space="preserve">¡n!</w:t>
      </w:r>
      <w:r>
        <w:rPr>
          <w:rStyle w:val="ColorBlue"/>
          <w:b/>
          <w:bCs/>
        </w:rPr>
        <w:t xml:space="preserve">⟨ṉ⟩</w:t>
      </w:r>
      <w:r>
        <w:rPr>
          <w:b/>
          <w:bCs/>
        </w:rPr>
        <w:t xml:space="preserve">ma</w:t>
      </w:r>
      <w:r>
        <w:t xml:space="preserve">(r-āṉa)</w:t>
      </w:r>
      <w:r>
        <w:t xml:space="preserve"> </w:t>
      </w:r>
      <w:r>
        <w:rPr>
          <w:b/>
          <w:bCs/>
        </w:rPr>
        <w:t xml:space="preserve">(śrī rāje)</w:t>
      </w:r>
      <w:r>
        <w:t xml:space="preserve">ntira-c</w:t>
      </w:r>
      <w:r>
        <w:rPr>
          <w:rStyle w:val="ColorMagenta"/>
        </w:rPr>
        <w:t xml:space="preserve">¡o!</w:t>
      </w:r>
      <w:r>
        <w:rPr>
          <w:rStyle w:val="ColorBlue"/>
        </w:rPr>
        <w:t xml:space="preserve">⟨ō⟩</w:t>
      </w:r>
      <w:r>
        <w:t xml:space="preserve">ḻa-</w:t>
      </w:r>
      <w:r>
        <w:rPr>
          <w:b/>
          <w:bCs/>
        </w:rPr>
        <w:t xml:space="preserve">de</w:t>
      </w:r>
      <w:r>
        <w:t xml:space="preserve">varkku yāṇṭu 3⁓Āvatu vaṭa-karai rā</w:t>
      </w:r>
      <w:r>
        <w:rPr>
          <w:b/>
          <w:bCs/>
        </w:rPr>
        <w:t xml:space="preserve">je</w:t>
      </w:r>
      <w:r>
        <w:t xml:space="preserve">ntira</w:t>
      </w:r>
      <w:r>
        <w:t xml:space="preserve"> </w:t>
      </w:r>
      <w:r>
        <w:rPr>
          <w:b/>
          <w:bCs/>
        </w:rPr>
        <w:t xml:space="preserve">siṁha</w:t>
      </w:r>
      <w:r>
        <w:t xml:space="preserve">-vaḷa-nāṭṭu maṇṇi-nāṭṭu</w:t>
      </w:r>
      <w:r>
        <w:t xml:space="preserve"> </w:t>
      </w:r>
      <w:r>
        <w:rPr>
          <w:b/>
          <w:bCs/>
        </w:rPr>
        <w:t xml:space="preserve">brahmade</w:t>
      </w:r>
      <w:r>
        <w:t xml:space="preserve">yam vempaṟṟūr-ākiya</w:t>
      </w:r>
      <w:r>
        <w:t xml:space="preserve"> </w:t>
      </w:r>
      <w:r>
        <w:rPr>
          <w:b/>
          <w:bCs/>
        </w:rPr>
        <w:t xml:space="preserve">śrī</w:t>
      </w:r>
      <w:r>
        <w:t xml:space="preserve"> </w:t>
      </w:r>
      <w:r>
        <w:t xml:space="preserve">c</w:t>
      </w:r>
      <w:r>
        <w:rPr>
          <w:rStyle w:val="ColorMagenta"/>
        </w:rPr>
        <w:t xml:space="preserve">¡o!</w:t>
      </w:r>
      <w:r>
        <w:rPr>
          <w:rStyle w:val="ColorBlue"/>
        </w:rPr>
        <w:t xml:space="preserve">⟨ō⟩</w:t>
      </w:r>
      <w:r>
        <w:t xml:space="preserve">ḻa-māttāṇṭa catu</w:t>
      </w:r>
      <w:r>
        <w:rPr>
          <w:b/>
          <w:bCs/>
        </w:rPr>
        <w:t xml:space="preserve">r-ve</w:t>
      </w:r>
      <w:r>
        <w:t xml:space="preserve">ti-maṅkalattu tiru-vica</w:t>
      </w:r>
      <w:r>
        <w:rPr>
          <w:rStyle w:val="ColorGray"/>
        </w:rPr>
        <w:t xml:space="preserve">⟨2⟩</w:t>
      </w:r>
      <w:r>
        <w:t xml:space="preserve">lūr mā</w:t>
      </w:r>
      <w:r>
        <w:rPr>
          <w:b/>
          <w:bCs/>
        </w:rPr>
        <w:t xml:space="preserve">hā</w:t>
      </w:r>
      <w:r>
        <w:t xml:space="preserve">-t</w:t>
      </w:r>
      <w:r>
        <w:rPr>
          <w:rStyle w:val="ColorMagenta"/>
        </w:rPr>
        <w:t xml:space="preserve">¡e!</w:t>
      </w:r>
      <w:r>
        <w:rPr>
          <w:rStyle w:val="ColorBlue"/>
        </w:rPr>
        <w:t xml:space="preserve">⟨ē⟩</w:t>
      </w:r>
      <w:r>
        <w:t xml:space="preserve">var k</w:t>
      </w:r>
      <w:r>
        <w:rPr>
          <w:rStyle w:val="ColorMagenta"/>
        </w:rPr>
        <w:t xml:space="preserve">¡o!</w:t>
      </w:r>
      <w:r>
        <w:rPr>
          <w:rStyle w:val="ColorBlue"/>
        </w:rPr>
        <w:t xml:space="preserve">⟨ō⟩</w:t>
      </w:r>
      <w:r>
        <w:t xml:space="preserve">yilil It-t</w:t>
      </w:r>
      <w:r>
        <w:rPr>
          <w:rStyle w:val="ColorMagenta"/>
        </w:rPr>
        <w:t xml:space="preserve">¡e!</w:t>
      </w:r>
      <w:r>
        <w:rPr>
          <w:rStyle w:val="ColorBlue"/>
        </w:rPr>
        <w:t xml:space="preserve">⟨ē⟩</w:t>
      </w:r>
      <w:r>
        <w:t xml:space="preserve">varkku tiru(c)-cuṟṟālaiya(mum k)</w:t>
      </w:r>
      <w:r>
        <w:rPr>
          <w:rStyle w:val="ColorMagenta"/>
        </w:rPr>
        <w:t xml:space="preserve">¡o!</w:t>
      </w:r>
      <w:r>
        <w:rPr>
          <w:rStyle w:val="ColorBlue"/>
        </w:rPr>
        <w:t xml:space="preserve">⟨ō⟩</w:t>
      </w:r>
      <w:r>
        <w:t xml:space="preserve">puramum ceyvittā [6+] rā</w:t>
      </w:r>
      <w:r>
        <w:rPr>
          <w:b/>
          <w:bCs/>
        </w:rPr>
        <w:t xml:space="preserve">je</w:t>
      </w:r>
      <w:r>
        <w:t xml:space="preserve">nti⟨ra⟩-c</w:t>
      </w:r>
      <w:r>
        <w:rPr>
          <w:rStyle w:val="ColorMagenta"/>
        </w:rPr>
        <w:t xml:space="preserve">¡o!</w:t>
      </w:r>
      <w:r>
        <w:rPr>
          <w:rStyle w:val="ColorBlue"/>
        </w:rPr>
        <w:t xml:space="preserve">⟨ō⟩</w:t>
      </w:r>
      <w:r>
        <w:t xml:space="preserve">ḻa-t</w:t>
      </w:r>
      <w:r>
        <w:rPr>
          <w:rStyle w:val="ColorMagenta"/>
        </w:rPr>
        <w:t xml:space="preserve">¡e!</w:t>
      </w:r>
      <w:r>
        <w:rPr>
          <w:rStyle w:val="ColorBlue"/>
        </w:rPr>
        <w:t xml:space="preserve">⟨ē⟩</w:t>
      </w:r>
      <w:r>
        <w:t xml:space="preserve">var [3+] t</w:t>
      </w:r>
      <w:r>
        <w:rPr>
          <w:b/>
          <w:bCs/>
        </w:rPr>
        <w:t xml:space="preserve">tya</w:t>
      </w:r>
      <w:r>
        <w:t xml:space="preserve">yat terinta valaṅkai veḷai-k-kāṟar It tiru-k-k</w:t>
      </w:r>
      <w:r>
        <w:rPr>
          <w:rStyle w:val="ColorMagenta"/>
        </w:rPr>
        <w:t xml:space="preserve">¡o!</w:t>
      </w:r>
      <w:r>
        <w:rPr>
          <w:rStyle w:val="ColorBlue"/>
        </w:rPr>
        <w:t xml:space="preserve">⟨ō⟩</w:t>
      </w:r>
      <w:r>
        <w:t xml:space="preserve">yilile Eḻuntaru⟨ḷi⟩-vicca malai nāṭṭu koṭuṅko</w:t>
      </w:r>
    </w:p>
    <w:p>
      <w:pPr>
        <w:pStyle w:val="Heading1"/>
      </w:pPr>
      <w:r>
        <w:t xml:space="preserve">Commentary</w:t>
      </w:r>
    </w:p>
    <w:p>
      <w:pPr>
        <w:pStyle w:val="FirstParagraph"/>
      </w:pPr>
      <w:r>
        <w:t xml:space="preserve">The date corresponds to 1015-16 A.D. according to Srinivasa Rao 1979</w:t>
      </w:r>
    </w:p>
    <w:p>
      <w:pPr>
        <w:pStyle w:val="BodyText"/>
      </w:pPr>
      <w:r>
        <w:t xml:space="preserve">This is built in at the end.</w:t>
      </w:r>
    </w:p>
    <w:p>
      <w:pPr>
        <w:pStyle w:val="Heading1"/>
      </w:pPr>
      <w:r>
        <w:t xml:space="preserve">Bibliography</w:t>
      </w:r>
    </w:p>
    <w:p>
      <w:pPr>
        <w:pStyle w:val="FirstParagraph"/>
      </w:pPr>
      <w:r>
        <w:t xml:space="preserve">Reported in ARIE 1907–08 (ARIE/1907-1908/B/1907/341).</w:t>
      </w:r>
    </w:p>
    <w:p>
      <w:pPr>
        <w:pStyle w:val="BodyText"/>
      </w:pPr>
      <w:r>
        <w:t xml:space="preserve">Edited in Srinivasa Rao 1979 (SII 23.341).</w:t>
      </w:r>
    </w:p>
    <w:p>
      <w:pPr>
        <w:pStyle w:val="BodyText"/>
      </w:pPr>
      <w:r>
        <w:t xml:space="preserve">This digital edition by Dorotea Operato, based on Srinivasa Rao 1979.</w:t>
      </w:r>
    </w:p>
    <w:p>
      <w:pPr>
        <w:pStyle w:val="Heading2"/>
      </w:pPr>
      <w:r>
        <w:t xml:space="preserve">Primary</w:t>
      </w:r>
    </w:p>
    <w:p>
      <w:pPr>
        <w:pStyle w:val="FirstParagraph"/>
      </w:pPr>
      <w:r>
        <w:rPr>
          <w:b/>
          <w:bCs/>
        </w:rPr>
        <w:t xml:space="preserve">[SII]</w:t>
      </w:r>
      <w:r>
        <w:t xml:space="preserve"> </w:t>
      </w:r>
      <w:r>
        <w:t xml:space="preserve">Srinivasa Rao, G.V. 1979.</w:t>
      </w:r>
      <w:r>
        <w:t xml:space="preserve"> </w:t>
      </w:r>
      <w:r>
        <w:rPr>
          <w:i/>
          <w:iCs/>
        </w:rPr>
        <w:t xml:space="preserve">South Indian inscriptions. Volume XXIII: inscriptions collected during the year 1906-07</w:t>
      </w:r>
      <w:r>
        <w:t xml:space="preserve">. South Indian Inscriptions 23. Delhi: Archaeological survey of India (Director-General). Page 233, item 341.</w:t>
      </w:r>
    </w:p>
    <w:p>
      <w:pPr>
        <w:pStyle w:val="Heading2"/>
      </w:pPr>
      <w:r>
        <w:t xml:space="preserve">Secondary</w:t>
      </w:r>
    </w:p>
    <w:p>
      <w:pPr>
        <w:pStyle w:val="FirstParagraph"/>
      </w:pPr>
      <w:r>
        <w:rPr>
          <w:b/>
          <w:bCs/>
        </w:rPr>
        <w:t xml:space="preserve">[ARIE]</w:t>
      </w:r>
      <w:r>
        <w:t xml:space="preserve"> </w:t>
      </w:r>
      <w:r>
        <w:t xml:space="preserve">ARIE 1907–08.</w:t>
      </w:r>
      <w:r>
        <w:t xml:space="preserve"> </w:t>
      </w:r>
      <w:r>
        <w:rPr>
          <w:i/>
          <w:iCs/>
        </w:rPr>
        <w:t xml:space="preserve">G.O. No. 574, 17th July 1908. Epigraphy. Recording the progress report of the Assistant Archaeological Superintendent for Epigraphy, Southern Circle, for the year 1907-1908</w:t>
      </w:r>
      <w:r>
        <w:t xml:space="preserve">. Edited by V. Venkayya. No place, 1908. Page 26, appendix B/1907, item 341.</w:t>
      </w:r>
    </w:p>
    <w:sectPr>
      <w:footnotePr>
        <w:numFmt w:val="decimal"/>
        <w:numRestart w:val="eachSect"/>
      </w:footnotePr>
      <w:type w:val="nextPage"/>
      <w:pgSz w:h="15840" w:w="12240"/>
      <w:pgMar w:bottom="1440" w:footer="0" w:gutter="0" w:header="0" w:left="1440" w:right="1440" w:top="1440"/>
      <w:pgNumType w:fmt="decimal"/>
      <w:formProt w:val="false"/>
      <w:textDirection w:val="lrTb"/>
      <w:docGrid w:charSpace="0" w:linePitch="100" w:type="default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Aptos">
    <w:charset w:val="01"/>
    <w:family w:val="auto"/>
    <w:pitch w:val="default"/>
  </w:font>
  <w:font w:name="Gentium">
    <w:charset w:val="01"/>
    <w:family w:val="auto"/>
    <w:pitch w:val="default"/>
  </w:font>
  <w:font w:name="Aptos Display">
    <w:charset w:val="01"/>
    <w:family w:val="auto"/>
    <w:pitch w:val="default"/>
  </w:font>
  <w:font w:name="Consolas">
    <w:charset w:val="01"/>
    <w:family w:val="auto"/>
    <w:pitch w:val="default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1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2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3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4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5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6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7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8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1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2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3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4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5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6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7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8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">
    <w:abstractNumId w:val="1"/>
  </w:num>
  <w:num w:numId="2">
    <w:abstractNumId w:val="2"/>
  </w: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75"/>
  <w:embedSystemFonts/>
  <w:proofState w:grammar="clean" w:spelling="clean"/>
  <w:stylePaneFormatFilter w:val="0004"/>
  <w:doNotTrackMoves/>
  <w:defaultTabStop w:val="720"/>
  <w:autoHyphenation w:val="true"/>
  <w:hyphenationZone w:val="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compatSetting w:name="compatibilityMode" w:uri="http://schemas.microsoft.com/office/word" w:val="12"/>
  </w:compat>
  <w:rsids>
  </w:rsids>
  <w:themeFontLang w:bidi="" w:eastAsia="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Aptos" w:asciiTheme="minorHAnsi" w:cs="" w:cstheme="minorBidi" w:eastAsia="Aptos" w:eastAsiaTheme="minorHAnsi" w:hAnsi="Aptos" w:hAnsiTheme="minorHAnsi"/>
        <w:sz w:val="24"/>
        <w:szCs w:val="24"/>
        <w:lang w:bidi="ar-SA" w:eastAsia="en-US" w:val="en-US"/>
      </w:rPr>
    </w:rPrDefault>
    <w:pPrDefault>
      <w:pPr>
        <w:suppressAutoHyphens w:val="true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widowControl/>
      <w:suppressAutoHyphens w:val="true"/>
      <w:bidi w:val="0"/>
      <w:spacing w:after="200" w:before="0" w:line="276" w:lineRule="auto"/>
      <w:jc w:val="left"/>
    </w:pPr>
    <w:rPr>
      <w:rFonts w:ascii="Gentium" w:cs="" w:cstheme="minorBidi" w:eastAsia="Aptos" w:eastAsiaTheme="minorHAnsi" w:hAnsi="Gentium"/>
      <w:color w:val="auto"/>
      <w:kern w:val="0"/>
      <w:sz w:val="24"/>
      <w:szCs w:val="24"/>
      <w:lang w:bidi="ar-SA" w:eastAsia="en-US" w:val="en-US"/>
    </w:rPr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 w:val="true"/>
      <w:keepLines/>
      <w:spacing w:after="80" w:before="360" w:line="240" w:lineRule="auto"/>
      <w:outlineLvl w:val="0"/>
    </w:pPr>
    <w:rPr>
      <w:rFonts w:ascii="Gentium" w:cs="" w:cstheme="majorBidi" w:eastAsia="" w:eastAsiaTheme="majorEastAsia" w:hAnsi="Gentium"/>
      <w:color w:val="auto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 w:val="true"/>
      <w:keepLines/>
      <w:spacing w:after="80" w:before="160"/>
      <w:outlineLvl w:val="1"/>
    </w:pPr>
    <w:rPr>
      <w:rFonts w:ascii="Gentium" w:cs="" w:cstheme="majorBidi" w:eastAsia="" w:eastAsiaTheme="majorEastAsia" w:hAnsi="Gentium"/>
      <w:color w:val="000000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 w:val="true"/>
      <w:keepLines/>
      <w:spacing w:after="80" w:before="160"/>
      <w:outlineLvl w:val="2"/>
    </w:pPr>
    <w:rPr>
      <w:rFonts w:ascii="Gentium" w:cs="" w:cstheme="majorBidi" w:eastAsia="" w:eastAsiaTheme="majorEastAsia" w:hAnsi="Gentium"/>
      <w:color w:val="000000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 w:val="true"/>
      <w:keepLines/>
      <w:spacing w:after="40" w:before="80"/>
      <w:outlineLvl w:val="3"/>
    </w:pPr>
    <w:rPr>
      <w:rFonts w:ascii="Gentium" w:cs="" w:cstheme="majorBidi" w:eastAsia="" w:eastAsiaTheme="majorEastAsia" w:hAnsi="Gentium"/>
      <w:i/>
      <w:iCs/>
      <w:color w:val="000000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 w:val="true"/>
      <w:keepLines/>
      <w:spacing w:after="40" w:before="80"/>
      <w:outlineLvl w:val="4"/>
    </w:pPr>
    <w:rPr>
      <w:rFonts w:ascii="Gentium" w:cs="" w:cstheme="majorBidi" w:eastAsia="" w:eastAsiaTheme="majorEastAsia" w:hAnsi="Gentium"/>
      <w:color w:val="000000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 w:val="true"/>
      <w:keepLines/>
      <w:spacing w:after="0" w:before="40"/>
      <w:outlineLvl w:val="5"/>
    </w:pPr>
    <w:rPr>
      <w:rFonts w:ascii="Gentium" w:cs="" w:cstheme="majorBidi" w:eastAsia="" w:eastAsiaTheme="majorEastAsia" w:hAnsi="Gentium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 w:val="true"/>
      <w:keepLines/>
      <w:spacing w:after="0" w:before="40"/>
      <w:outlineLvl w:val="6"/>
    </w:pPr>
    <w:rPr>
      <w:rFonts w:ascii="Gentium" w:cs="" w:cstheme="majorBidi" w:eastAsia="" w:eastAsiaTheme="majorEastAsia" w:hAnsi="Gentium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 w:val="true"/>
      <w:keepLines/>
      <w:spacing w:after="0" w:before="0"/>
      <w:outlineLvl w:val="7"/>
    </w:pPr>
    <w:rPr>
      <w:rFonts w:ascii="Gentium" w:cs="" w:cstheme="majorBidi" w:eastAsia="" w:eastAsiaTheme="majorEastAsia" w:hAnsi="Gentium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 w:val="true"/>
      <w:keepLines/>
      <w:spacing w:after="0" w:before="0"/>
      <w:outlineLvl w:val="8"/>
    </w:pPr>
    <w:rPr>
      <w:rFonts w:ascii="Gentium" w:cs="" w:cstheme="majorBidi" w:eastAsia="" w:eastAsiaTheme="majorEastAsia" w:hAnsi="Gentium"/>
      <w:color w:themeColor="text1" w:themeTint="d8" w:val="272727"/>
    </w:rPr>
  </w:style>
  <w:style w:customStyle="1" w:styleId="TitleChar" w:type="character">
    <w:name w:val="Title Char"/>
    <w:basedOn w:val="DefaultParagraphFont"/>
    <w:link w:val="Title"/>
    <w:uiPriority w:val="10"/>
    <w:qFormat/>
    <w:rsid w:val="00a10fd9"/>
    <w:rPr>
      <w:rFonts w:ascii="Aptos Display" w:asciiTheme="majorHAnsi" w:cs="" w:cstheme="majorBidi" w:eastAsia="" w:eastAsiaTheme="majorEastAsia" w:hAnsi="Aptos Display" w:hAnsiTheme="majorHAnsi"/>
      <w:sz w:val="56"/>
      <w:szCs w:val="56"/>
    </w:rPr>
  </w:style>
  <w:style w:customStyle="1" w:styleId="SubtitleChar" w:type="character">
    <w:name w:val="Subtitle Char"/>
    <w:basedOn w:val="DefaultParagraphFont"/>
    <w:link w:val="Subtitle"/>
    <w:uiPriority w:val="11"/>
    <w:qFormat/>
    <w:rsid w:val="00a10fd9"/>
    <w:rPr>
      <w:rFonts w:cs="" w:cstheme="majorBidi" w:eastAsia="" w:eastAsiaTheme="majorEastAsia"/>
      <w:color w:themeColor="text1" w:themeTint="a6" w:val="595959"/>
      <w:spacing w:val="15"/>
      <w:sz w:val="28"/>
      <w:szCs w:val="28"/>
    </w:rPr>
  </w:style>
  <w:style w:customStyle="1" w:styleId="Heading1Char" w:type="character">
    <w:name w:val="Heading 1 Char"/>
    <w:basedOn w:val="DefaultParagraphFont"/>
    <w:link w:val="Heading1"/>
    <w:uiPriority w:val="9"/>
    <w:qFormat/>
    <w:rsid w:val="00a10fd9"/>
    <w:rPr>
      <w:rFonts w:ascii="Aptos Display" w:asciiTheme="majorHAnsi" w:cs="" w:cstheme="majorBidi" w:eastAsia="" w:eastAsiaTheme="majorEastAsia" w:hAnsi="Aptos Display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qFormat/>
    <w:rsid w:val="00a10fd9"/>
    <w:rPr>
      <w:rFonts w:ascii="Aptos Display" w:asciiTheme="majorHAnsi" w:cs="" w:cstheme="majorBidi" w:eastAsia="" w:eastAsiaTheme="majorEastAsia" w:hAnsi="Aptos Display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qFormat/>
    <w:rsid w:val="00a10fd9"/>
    <w:rPr>
      <w:rFonts w:cs="" w:cstheme="majorBidi" w:eastAsia="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qFormat/>
    <w:rsid w:val="00a10fd9"/>
    <w:rPr>
      <w:rFonts w:cs="" w:cstheme="majorBidi" w:eastAsia="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qFormat/>
    <w:rsid w:val="00a10fd9"/>
    <w:rPr>
      <w:rFonts w:cs="" w:cstheme="majorBidi" w:eastAsia="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qFormat/>
    <w:rsid w:val="00a10fd9"/>
    <w:rPr>
      <w:rFonts w:cs="" w:cstheme="majorBidi" w:eastAsia="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qFormat/>
    <w:rsid w:val="00a10fd9"/>
    <w:rPr>
      <w:rFonts w:cs="" w:cstheme="majorBidi" w:eastAsia="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qFormat/>
    <w:rsid w:val="00a10fd9"/>
    <w:rPr>
      <w:rFonts w:cs="" w:cstheme="majorBidi" w:eastAsia="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qFormat/>
    <w:rsid w:val="00a10fd9"/>
    <w:rPr>
      <w:rFonts w:cs="" w:cstheme="majorBidi" w:eastAsia="" w:eastAsiaTheme="majorEastAsia"/>
      <w:color w:themeColor="text1" w:themeTint="d8" w:val="272727"/>
    </w:rPr>
  </w:style>
  <w:style w:default="1" w:styleId="DefaultParagraphFont" w:type="character">
    <w:name w:val="Default Paragraph Font"/>
    <w:semiHidden/>
    <w:unhideWhenUsed/>
    <w:qFormat/>
    <w:rPr/>
  </w:style>
  <w:style w:customStyle="1" w:styleId="BodyTextChar" w:type="character">
    <w:name w:val="Body Text Char"/>
    <w:basedOn w:val="DefaultParagraphFont"/>
    <w:qFormat/>
    <w:rPr/>
  </w:style>
  <w:style w:customStyle="1" w:styleId="VerbatimChar" w:type="character">
    <w:name w:val="Verbatim Char"/>
    <w:basedOn w:val="BodyTextChar"/>
    <w:qFormat/>
    <w:rPr>
      <w:rFonts w:ascii="Consolas" w:hAnsi="Consolas"/>
      <w:sz w:val="22"/>
    </w:rPr>
  </w:style>
  <w:style w:customStyle="1" w:styleId="SectionNumber" w:type="character">
    <w:name w:val="Section Number"/>
    <w:basedOn w:val="BodyTextChar"/>
    <w:qFormat/>
    <w:rPr/>
  </w:style>
  <w:style w:styleId="FootnoteCharactersuser" w:type="character">
    <w:name w:val="Footnote Characters (user)"/>
    <w:qFormat/>
    <w:rPr>
      <w:vertAlign w:val="superscript"/>
    </w:rPr>
  </w:style>
  <w:style w:styleId="FootnoteCharacters" w:type="character">
    <w:name w:val="Footnote Characters"/>
    <w:qFormat/>
    <w:rPr>
      <w:vertAlign w:val="superscript"/>
    </w:rPr>
  </w:style>
  <w:style w:styleId="FootnoteReference" w:type="character">
    <w:name w:val="footnote reference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ColorGray" w:type="character">
    <w:name w:val="ColorGray"/>
    <w:basedOn w:val="BodyTextChar"/>
    <w:qFormat/>
    <w:rPr>
      <w:color w:val="666666"/>
    </w:rPr>
  </w:style>
  <w:style w:styleId="ColorGreen" w:type="character">
    <w:name w:val="ColorGreen"/>
    <w:basedOn w:val="DefaultParagraphFont"/>
    <w:qFormat/>
    <w:rPr>
      <w:color w:val="069A2E"/>
    </w:rPr>
  </w:style>
  <w:style w:styleId="ColorBrown" w:type="character">
    <w:name w:val="ColorBrown"/>
    <w:basedOn w:val="ColorGreen"/>
    <w:qFormat/>
    <w:rPr>
      <w:color w:val="784B04"/>
    </w:rPr>
  </w:style>
  <w:style w:styleId="CaptionCharactersuser" w:type="character">
    <w:name w:val="Caption Characters (user)"/>
    <w:qFormat/>
    <w:rPr/>
  </w:style>
  <w:style w:styleId="ColorRed" w:type="character">
    <w:name w:val="ColorRed"/>
    <w:basedOn w:val="CaptionCharactersuser"/>
    <w:qFormat/>
    <w:rPr>
      <w:color w:val="C9211E"/>
    </w:rPr>
  </w:style>
  <w:style w:styleId="ColorMagenta" w:type="character">
    <w:name w:val="ColorMagenta"/>
    <w:basedOn w:val="ColorBrown"/>
    <w:qFormat/>
    <w:rPr>
      <w:color w:val="800080"/>
    </w:rPr>
  </w:style>
  <w:style w:styleId="ColorBlue" w:type="character">
    <w:name w:val="ColorBlue"/>
    <w:basedOn w:val="ColorGray"/>
    <w:qFormat/>
    <w:rPr>
      <w:color w:val="2A6099"/>
    </w:rPr>
  </w:style>
  <w:style w:styleId="ColorBlack" w:type="character">
    <w:name w:val="ColorBlack"/>
    <w:basedOn w:val="ColorBlue"/>
    <w:qFormat/>
    <w:rPr>
      <w:color w:val="000000"/>
    </w:rPr>
  </w:style>
  <w:style w:styleId="EndnoteCharacters" w:type="character">
    <w:name w:val="Endnote Characters"/>
    <w:qFormat/>
    <w:rPr>
      <w:vertAlign w:val="superscript"/>
    </w:rPr>
  </w:style>
  <w:style w:styleId="EndnoteCharactersuser" w:type="character">
    <w:name w:val="Endnote Characters (user)"/>
    <w:qFormat/>
    <w:rPr>
      <w:vertAlign w:val="superscript"/>
    </w:rPr>
  </w:style>
  <w:style w:styleId="EndnoteReference" w:type="character">
    <w:name w:val="endnote reference"/>
    <w:rPr>
      <w:vertAlign w:val="superscript"/>
    </w:rPr>
  </w:style>
  <w:style w:styleId="Heading" w:type="paragraph">
    <w:name w:val="Heading"/>
    <w:basedOn w:val="Normal"/>
    <w:next w:val="BodyText"/>
    <w:qFormat/>
    <w:pPr>
      <w:keepNext w:val="true"/>
      <w:spacing w:after="120" w:before="240"/>
    </w:pPr>
    <w:rPr>
      <w:rFonts w:ascii="Gentium" w:cs="Noto Sans Devanagari" w:eastAsia="Noto Sans CJK SC" w:hAnsi="Gentium"/>
      <w:sz w:val="28"/>
      <w:szCs w:val="28"/>
    </w:rPr>
  </w:style>
  <w:style w:styleId="BodyText" w:type="paragraph">
    <w:name w:val="Body Text"/>
    <w:basedOn w:val="Normal"/>
    <w:link w:val="BodyTextChar"/>
    <w:qFormat/>
    <w:pPr>
      <w:spacing w:after="180" w:before="180" w:line="276" w:lineRule="auto"/>
    </w:pPr>
    <w:rPr>
      <w:rFonts w:ascii="Gentium" w:hAnsi="Gentium"/>
    </w:rPr>
  </w:style>
  <w:style w:styleId="List" w:type="paragraph">
    <w:name w:val="List"/>
    <w:basedOn w:val="BodyText"/>
    <w:pPr/>
    <w:rPr>
      <w:rFonts w:ascii="Gentium" w:cs="Noto Sans Devanagari" w:hAnsi="Gentium"/>
    </w:rPr>
  </w:style>
  <w:style w:styleId="Caption" w:type="paragraph">
    <w:name w:val="caption"/>
    <w:basedOn w:val="Normal"/>
    <w:link w:val="BodyTextChar"/>
    <w:qFormat/>
    <w:pPr>
      <w:spacing w:after="120" w:before="0"/>
    </w:pPr>
    <w:rPr>
      <w:rFonts w:ascii="Gentium" w:hAnsi="Gentium"/>
      <w:i/>
    </w:rPr>
  </w:style>
  <w:style w:styleId="Index" w:type="paragraph">
    <w:name w:val="Index"/>
    <w:basedOn w:val="Normal"/>
    <w:qFormat/>
    <w:pPr>
      <w:suppressLineNumbers/>
    </w:pPr>
    <w:rPr>
      <w:rFonts w:ascii="Gentium" w:cs="Noto Sans Devanagari" w:hAnsi="Gentium"/>
    </w:rPr>
  </w:style>
  <w:style w:customStyle="1" w:styleId="FirstParagraph" w:type="paragraph">
    <w:name w:val="First Paragraph"/>
    <w:basedOn w:val="BodyText"/>
    <w:next w:val="BodyText"/>
    <w:qFormat/>
    <w:pPr>
      <w:spacing w:line="276" w:lineRule="auto"/>
    </w:pPr>
    <w:rPr>
      <w:rFonts w:ascii="Gentium" w:hAnsi="Gentium"/>
    </w:rPr>
  </w:style>
  <w:style w:customStyle="1" w:styleId="Compact" w:type="paragraph">
    <w:name w:val="Compact"/>
    <w:basedOn w:val="BodyText"/>
    <w:qFormat/>
    <w:pPr>
      <w:spacing w:after="36" w:before="36"/>
    </w:pPr>
    <w:rPr/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before="0" w:line="240" w:lineRule="auto"/>
      <w:contextualSpacing/>
      <w:jc w:val="center"/>
    </w:pPr>
    <w:rPr>
      <w:rFonts w:ascii="Gentium" w:cs="" w:cstheme="majorBidi" w:eastAsia="" w:eastAsiaTheme="majorEastAsia" w:hAnsi="Gentium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/>
    <w:rPr>
      <w:rFonts w:cs="" w:cstheme="majorBidi" w:eastAsia="" w:eastAsiaTheme="majorEastAsia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 w:val="true"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 w:val="true"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 w:val="true"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 w:val="true"/>
      <w:keepLines/>
      <w:spacing w:after="300" w:before="100"/>
    </w:pPr>
    <w:rPr>
      <w:rFonts w:ascii="Gentium" w:hAnsi="Gentium"/>
      <w:sz w:val="20"/>
      <w:szCs w:val="20"/>
    </w:rPr>
  </w:style>
  <w:style w:styleId="Bibliography" w:type="paragraph">
    <w:name w:val="Bibliography"/>
    <w:basedOn w:val="Normal"/>
    <w:qFormat/>
    <w:pPr/>
    <w:rPr/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hanging="0" w:left="480" w:right="480"/>
    </w:pPr>
    <w:rPr/>
  </w:style>
  <w:style w:styleId="FootnoteText" w:type="paragraph">
    <w:name w:val="footnote text"/>
    <w:basedOn w:val="Normal"/>
    <w:uiPriority w:val="9"/>
    <w:unhideWhenUsed/>
    <w:qFormat/>
    <w:pPr/>
    <w:rPr>
      <w:rFonts w:ascii="Gentium" w:hAnsi="Gentium"/>
    </w:rPr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hanging="0" w:left="480" w:right="480"/>
    </w:pPr>
    <w:rPr>
      <w:rFonts w:ascii="Gentium" w:hAnsi="Gentium"/>
    </w:rPr>
  </w:style>
  <w:style w:customStyle="1" w:styleId="DefinitionTerm" w:type="paragraph">
    <w:name w:val="Definition Term"/>
    <w:basedOn w:val="Normal"/>
    <w:next w:val="Definition"/>
    <w:qFormat/>
    <w:pPr>
      <w:keepNext w:val="true"/>
      <w:keepLines/>
      <w:spacing w:after="0" w:before="0"/>
    </w:pPr>
    <w:rPr>
      <w:rFonts w:ascii="Gentium" w:hAnsi="Gentium"/>
      <w:b/>
    </w:rPr>
  </w:style>
  <w:style w:customStyle="1" w:styleId="Definition" w:type="paragraph">
    <w:name w:val="Definition"/>
    <w:basedOn w:val="Normal"/>
    <w:qFormat/>
    <w:pPr>
      <w:ind w:left="475"/>
    </w:pPr>
    <w:rPr>
      <w:rFonts w:ascii="Gentium" w:hAnsi="Gentium"/>
    </w:rPr>
  </w:style>
  <w:style w:customStyle="1" w:styleId="TableCaption" w:type="paragraph">
    <w:name w:val="Table Caption"/>
    <w:basedOn w:val="Caption"/>
    <w:qFormat/>
    <w:pPr>
      <w:keepNext w:val="true"/>
    </w:pPr>
    <w:rPr/>
  </w:style>
  <w:style w:customStyle="1" w:styleId="ImageCaption" w:type="paragraph">
    <w:name w:val="Image Caption"/>
    <w:basedOn w:val="Caption"/>
    <w:qFormat/>
    <w:pPr/>
    <w:rPr/>
  </w:style>
  <w:style w:customStyle="1" w:styleId="Figure" w:type="paragraph">
    <w:name w:val="Figure"/>
    <w:basedOn w:val="Normal"/>
    <w:qFormat/>
    <w:pPr/>
    <w:rPr/>
  </w:style>
  <w:style w:customStyle="1" w:styleId="CaptionedFigure" w:type="paragraph">
    <w:name w:val="Captioned Figure"/>
    <w:basedOn w:val="Figure"/>
    <w:qFormat/>
    <w:pPr>
      <w:keepNext w:val="true"/>
    </w:pPr>
    <w:rPr/>
  </w:style>
  <w:style w:styleId="IndexHeading" w:type="paragraph">
    <w:name w:val="index heading"/>
    <w:basedOn w:val="Heading"/>
    <w:pPr/>
    <w:rPr/>
  </w:style>
  <w:style w:styleId="TOCHeading" w:type="paragraph">
    <w:name w:val="TOC Heading"/>
    <w:basedOn w:val="Heading1"/>
    <w:next w:val="BodyText"/>
    <w:uiPriority w:val="39"/>
    <w:unhideWhenUsed/>
    <w:qFormat/>
    <w:pPr>
      <w:spacing w:after="80" w:before="240" w:line="259" w:lineRule="auto"/>
      <w:outlineLvl w:val="9"/>
    </w:pPr>
    <w:rPr>
      <w:rFonts w:ascii="Aptos Display" w:asciiTheme="majorHAnsi" w:cs="" w:cstheme="majorBidi" w:eastAsia="" w:eastAsiaTheme="majorEastAsia" w:hAnsi="Aptos Display" w:hAnsiTheme="majorHAnsi"/>
      <w:b w:val="false"/>
      <w:bCs w:val="false"/>
      <w:color w:themeColor="accent1" w:themeShade="bf" w:val="365F91"/>
    </w:rPr>
  </w:style>
  <w:style w:styleId="Heading10" w:type="paragraph">
    <w:name w:val="Heading 10"/>
    <w:basedOn w:val="Heading"/>
    <w:next w:val="BodyText"/>
    <w:qFormat/>
    <w:pPr>
      <w:numPr>
        <w:ilvl w:val="8"/>
        <w:numId w:val="1"/>
      </w:numPr>
      <w:spacing w:after="60" w:before="60"/>
      <w:outlineLvl w:val="8"/>
    </w:pPr>
    <w:rPr>
      <w:b/>
      <w:bCs/>
      <w:sz w:val="18"/>
      <w:szCs w:val="18"/>
    </w:rPr>
  </w:style>
  <w:style w:styleId="BodyTextIndent" w:type="paragraph">
    <w:name w:val="Body Text Indent"/>
    <w:basedOn w:val="BodyText"/>
    <w:pPr>
      <w:ind w:hanging="0" w:left="283"/>
    </w:pPr>
    <w:rPr/>
  </w:style>
  <w:style w:styleId="BlockQuotationuser" w:type="paragraph">
    <w:name w:val="Block Quotation (user)"/>
    <w:basedOn w:val="Normal"/>
    <w:qFormat/>
    <w:pPr>
      <w:spacing w:after="283" w:before="0"/>
      <w:ind w:hanging="0" w:left="567" w:right="567"/>
    </w:pPr>
    <w:rPr>
      <w:rFonts w:ascii="Gentium" w:hAnsi="Gentium"/>
    </w:rPr>
  </w:style>
  <w:style w:default="1" w:styleId="Table" w:type="table">
    <w:name w:val="Table"/>
    <w:basedOn w:val="TableNormal"/>
    <w:semiHidden/>
    <w:unhideWhenUsed/>
    <w:qFormat/>
    <w:tblPr>
      <w:tblCellMar>
        <w:top w:type="dxa" w:w="0"/>
        <w:left w:type="dxa" w:w="108"/>
        <w:bottom w:type="dxa" w:w="0"/>
        <w:right w:type="dxa" w:w="108"/>
      </w:tblCellMar>
    </w:tblPr>
    <w:tblStylePr w:type="firstRow">
      <w:tblPr/>
      <w:tcPr>
        <w:tcBorders>
          <w:bottom w:val="single"/>
        </w:tcBorders>
        <w:vAlign w:val="bottom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 pitchFamily="0" charset="1"/>
        <a:ea typeface=""/>
        <a:cs typeface=""/>
      </a:majorFont>
      <a:minorFont>
        <a:latin typeface="Aptos" panose="0211000402020202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Application>LibreOffice/26.2.6.3$Linux_X86_64 LibreOffice_project/620$Build-3</Application>
  <AppVersion>15.0000</AppVersion>
  <Pages>2</Pages>
  <Words>60</Words>
  <Characters>366</Characters>
  <CharactersWithSpaces>396</CharactersWithSpaces>
  <Paragraphs>30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Tiruviśalūr, Śivayōganātha temple, Rājēndra-Chōḷa I, year 3</dc:title>
  <dc:creator>Dorotea Operato</dc:creator>
  <cp:keywords/>
  <dcterms:created xsi:type="dcterms:W3CDTF">2026-10-26T16:59:01Z</dcterms:created>
  <dcterms:modified xsi:type="dcterms:W3CDTF">2026-10-26T16:59:01Z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