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Gaṇapavaram plates attributed to Viṣṇuvardhana III</w:t>
      </w:r>
    </w:p>
    <w:p>
      <w:pPr>
        <w:pStyle w:val="Author"/>
      </w:pPr>
      <w:r>
        <w:t xml:space="preserve">Dániel Balogh</w:t>
      </w:r>
    </w:p>
    <w:p>
      <w:pPr>
        <w:pStyle w:val="FirstParagraph"/>
      </w:pPr>
      <w:r>
        <w:t xml:space="preserve">Alternative title: Ariyeṟu grant of Viṣṇuvardhana III</w:t>
      </w:r>
    </w:p>
    <w:p>
      <w:pPr>
        <w:pStyle w:val="BodyText"/>
      </w:pPr>
      <w:r>
        <w:t xml:space="preserve">Author of digital edition: Dániel Balogh</w:t>
      </w:r>
    </w:p>
    <w:p>
      <w:pPr>
        <w:pStyle w:val="BodyText"/>
      </w:pPr>
      <w:r>
        <w:t xml:space="preserve">Identifier: DHARMA_INSVengiCalukya00105</w:t>
      </w:r>
    </w:p>
    <w:p>
      <w:pPr>
        <w:pStyle w:val="BodyText"/>
      </w:pPr>
      <w:r>
        <w:t xml:space="preserve">Repository: Eastern Cālukya (tfb-vengicalukya-epigraphy)</w:t>
      </w:r>
    </w:p>
    <w:p>
      <w:pPr>
        <w:pStyle w:val="BodyText"/>
      </w:pPr>
      <w:r>
        <w:t xml:space="preserve">File path: xml/DHARMA_INSVengiCalukya00105.xml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Anusvāra is usually a small dot at headline level, sometimes a small circle at median level. Short and long dependent ī are barely distinguishable, the latter being open at the bottom left, the former being normally closed into a circle. Final M is a reduced and simplified old-style ma. The plates are written in a very clumsy hand. The last line, squeezed into insufficient vertical space, begins with an indent of about 3 characters and skips many spots where there are descenders from the penultimate line.</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w:t>
      </w:r>
      <w:r>
        <w:rPr>
          <w:rStyle w:val="ColorGray"/>
        </w:rPr>
        <w:t xml:space="preserve">⟨2⟩</w:t>
      </w:r>
      <w:r>
        <w:t xml:space="preserve">trā(ṇā)ṁ hāriti-putrāṇāṁ kauś</w:t>
      </w:r>
      <w:r>
        <w:rPr>
          <w:rStyle w:val="ColorRed"/>
        </w:rPr>
        <w:t xml:space="preserve">¿ī?</w:t>
      </w:r>
      <w:r>
        <w:rPr>
          <w:rStyle w:val="ColorGreen"/>
        </w:rPr>
        <w:t xml:space="preserve">⟨i⟩</w:t>
      </w:r>
      <w:r>
        <w:t xml:space="preserve">k</w:t>
      </w:r>
      <w:r>
        <w:rPr>
          <w:rStyle w:val="ColorRed"/>
        </w:rPr>
        <w:t xml:space="preserve">¿i?</w:t>
      </w:r>
      <w:r>
        <w:rPr>
          <w:rStyle w:val="ColorGreen"/>
        </w:rPr>
        <w:t xml:space="preserve">⟨ī⟩</w:t>
      </w:r>
      <w:r>
        <w:t xml:space="preserve">-vara-prasāda-labdha-r(ā)</w:t>
      </w:r>
      <w:r>
        <w:rPr>
          <w:rStyle w:val="ColorRed"/>
        </w:rPr>
        <w:t xml:space="preserve">¿bdha?</w:t>
      </w:r>
      <w:r>
        <w:rPr>
          <w:rStyle w:val="ColorGreen"/>
        </w:rPr>
        <w:t xml:space="preserve">⟨jyā⟩</w:t>
      </w:r>
      <w:r>
        <w:t xml:space="preserve">nā⟨ṁ⟩</w:t>
      </w:r>
      <w:r>
        <w:rPr>
          <w:rStyle w:val="ColorGray"/>
        </w:rPr>
        <w:t xml:space="preserve"> </w:t>
      </w:r>
      <w:r>
        <w:rPr>
          <w:rStyle w:val="ColorGray"/>
        </w:rPr>
        <w:t xml:space="preserve">⟨3⟩</w:t>
      </w:r>
      <w:r>
        <w:rPr>
          <w:rStyle w:val="ColorGray"/>
        </w:rPr>
        <w:t xml:space="preserve"> </w:t>
      </w:r>
      <w:r>
        <w:t xml:space="preserve">mātr̥◯-gaṇa-paripālitānāṁ svāmi-mahāsena-pādānu</w:t>
      </w:r>
      <w:r>
        <w:rPr>
          <w:rStyle w:val="ColorGray"/>
        </w:rPr>
        <w:t xml:space="preserve">⟨4⟩</w:t>
      </w:r>
      <w:r>
        <w:t xml:space="preserve">ddhyā◯tānā⟨ṁ⟩ bhagavan-nārāya</w:t>
      </w:r>
      <w:r>
        <w:rPr>
          <w:rStyle w:val="ColorRed"/>
        </w:rPr>
        <w:t xml:space="preserve">¿nā?</w:t>
      </w:r>
      <w:r>
        <w:rPr>
          <w:rStyle w:val="ColorGreen"/>
        </w:rPr>
        <w:t xml:space="preserve">⟨ṇa⟩</w:t>
      </w:r>
      <w:r>
        <w:t xml:space="preserve">-prasāda-samāsād</w:t>
      </w:r>
      <w:r>
        <w:rPr>
          <w:rStyle w:val="ColorRed"/>
        </w:rPr>
        <w:t xml:space="preserve">¿ī?</w:t>
      </w:r>
      <w:r>
        <w:rPr>
          <w:rStyle w:val="ColorGreen"/>
        </w:rPr>
        <w:t xml:space="preserve">⟨i⟩</w:t>
      </w:r>
      <w:r>
        <w:t xml:space="preserve">ta-vara-va</w:t>
      </w:r>
      <w:r>
        <w:rPr>
          <w:rStyle w:val="ColorGray"/>
        </w:rPr>
        <w:t xml:space="preserve">⟨5⟩</w:t>
      </w:r>
      <w:r>
        <w:t xml:space="preserve">rāha-lā⟨ṁ⟩chanekṣaṇa-kṣaṇa-vaśīkr̥tārāt</w:t>
      </w:r>
      <w:r>
        <w:rPr>
          <w:rStyle w:val="ColorRed"/>
        </w:rPr>
        <w:t xml:space="preserve">¿ī?</w:t>
      </w:r>
      <w:r>
        <w:rPr>
          <w:rStyle w:val="ColorGreen"/>
        </w:rPr>
        <w:t xml:space="preserve">⟨i⟩</w:t>
      </w:r>
      <w:r>
        <w:t xml:space="preserve">-maṇḍalā</w:t>
      </w:r>
      <w:r>
        <w:rPr>
          <w:rStyle w:val="ColorRed"/>
        </w:rPr>
        <w:t xml:space="preserve">¿ṇa?</w:t>
      </w:r>
      <w:r>
        <w:rPr>
          <w:rStyle w:val="ColorGreen"/>
        </w:rPr>
        <w:t xml:space="preserve">⟨nā⟩</w:t>
      </w:r>
      <w:r>
        <w:t xml:space="preserve">ṁ Aśva</w:t>
      </w:r>
      <w:r>
        <w:rPr>
          <w:rStyle w:val="ColorGray"/>
        </w:rPr>
        <w:t xml:space="preserve">⟨Page 2r⟩</w:t>
      </w:r>
      <w:r>
        <w:rPr>
          <w:rStyle w:val="ColorGray"/>
        </w:rPr>
        <w:t xml:space="preserve">⟨6⟩</w:t>
      </w:r>
      <w:r>
        <w:t xml:space="preserve">(medhā)vabhr̥tha-snāna-pavitr</w:t>
      </w:r>
      <w:r>
        <w:rPr>
          <w:rStyle w:val="ColorRed"/>
        </w:rPr>
        <w:t xml:space="preserve">¿i?</w:t>
      </w:r>
      <w:r>
        <w:rPr>
          <w:rStyle w:val="ColorGreen"/>
        </w:rPr>
        <w:t xml:space="preserve">⟨ī⟩</w:t>
      </w:r>
      <w:r>
        <w:t xml:space="preserve">kr̥ta-vapu</w:t>
      </w:r>
      <w:r>
        <w:rPr>
          <w:rStyle w:val="ColorRed"/>
        </w:rPr>
        <w:t xml:space="preserve">¿p?</w:t>
      </w:r>
      <w:r>
        <w:rPr>
          <w:rStyle w:val="ColorGreen"/>
        </w:rPr>
        <w:t xml:space="preserve">⟨ṣ⟩</w:t>
      </w:r>
      <w:r>
        <w:t xml:space="preserve">āṁ caḷukyā</w:t>
      </w:r>
      <w:r>
        <w:rPr>
          <w:rStyle w:val="ColorRed"/>
        </w:rPr>
        <w:t xml:space="preserve">¿ṇa?</w:t>
      </w:r>
      <w:r>
        <w:rPr>
          <w:rStyle w:val="ColorGreen"/>
        </w:rPr>
        <w:t xml:space="preserve">⟨nā⟩</w:t>
      </w:r>
      <w:r>
        <w:t xml:space="preserve">ṁ kula⟨m a⟩</w:t>
      </w:r>
      <w:r>
        <w:rPr>
          <w:rStyle w:val="ColorGray"/>
        </w:rPr>
        <w:t xml:space="preserve">⟨7⟩</w:t>
      </w:r>
      <w:r>
        <w:t xml:space="preserve">la(ṁ)kariṣṇor vvividha-yu⟨d⟩dha-labdha-yaśa⟨saḥ⟩ śrī-viṣṇuvarddhana-mahārājasya</w:t>
      </w:r>
      <w:r>
        <w:rPr>
          <w:rStyle w:val="ColorGray"/>
        </w:rPr>
        <w:t xml:space="preserve"> </w:t>
      </w:r>
      <w:r>
        <w:rPr>
          <w:rStyle w:val="ColorGray"/>
        </w:rPr>
        <w:t xml:space="preserve">⟨8⟩</w:t>
      </w:r>
      <w:r>
        <w:rPr>
          <w:rStyle w:val="ColorGray"/>
        </w:rPr>
        <w:t xml:space="preserve"> </w:t>
      </w:r>
      <w:r>
        <w:t xml:space="preserve">(pau)◯traḥ para-nr̥pati-makuṭa-taṭa-ghaṭitāneka-maṇi-kiraṇa</w:t>
      </w:r>
      <w:r>
        <w:rPr>
          <w:rStyle w:val="ColorGray"/>
        </w:rPr>
        <w:t xml:space="preserve">⟨9⟩</w:t>
      </w:r>
      <w:r>
        <w:t xml:space="preserve">-rāga-ra◯ñj</w:t>
      </w:r>
      <w:r>
        <w:rPr>
          <w:rStyle w:val="ColorRed"/>
        </w:rPr>
        <w:t xml:space="preserve">¿ī?</w:t>
      </w:r>
      <w:r>
        <w:rPr>
          <w:rStyle w:val="ColorGreen"/>
        </w:rPr>
        <w:t xml:space="preserve">⟨i⟩</w:t>
      </w:r>
      <w:r>
        <w:t xml:space="preserve">ta-caraṇa-yuga</w:t>
      </w:r>
      <w:r>
        <w:rPr>
          <w:rStyle w:val="ColorMagenta"/>
        </w:rPr>
        <w:t xml:space="preserve">¡ḷ!</w:t>
      </w:r>
      <w:r>
        <w:rPr>
          <w:rStyle w:val="ColorBlue"/>
        </w:rPr>
        <w:t xml:space="preserve">⟨l⟩</w:t>
      </w:r>
      <w:r>
        <w:t xml:space="preserve">a</w:t>
      </w:r>
      <w:r>
        <w:rPr>
          <w:rStyle w:val="ColorRed"/>
        </w:rPr>
        <w:t xml:space="preserve">¿ḥ?</w:t>
      </w:r>
      <w:r>
        <w:rPr>
          <w:rStyle w:val="ColorGreen"/>
        </w:rPr>
        <w:t xml:space="preserve">⟨sya⟩</w:t>
      </w:r>
      <w:r>
        <w:t xml:space="preserve"> </w:t>
      </w:r>
      <w:r>
        <w:t xml:space="preserve">Aneka-tulā-dhr̥ta-⟨ka⟩</w:t>
      </w:r>
      <w:r>
        <w:rPr>
          <w:rStyle w:val="ColorMagenta"/>
        </w:rPr>
        <w:t xml:space="preserve">¡ḷ!</w:t>
      </w:r>
      <w:r>
        <w:rPr>
          <w:rStyle w:val="ColorBlue"/>
        </w:rPr>
        <w:t xml:space="preserve">⟨l⟩</w:t>
      </w:r>
      <w:r>
        <w:t xml:space="preserve">adhau</w:t>
      </w:r>
      <w:r>
        <w:rPr>
          <w:rStyle w:val="ColorGray"/>
        </w:rPr>
        <w:t xml:space="preserve">⟨10⟩</w:t>
      </w:r>
      <w:r>
        <w:t xml:space="preserve">ta-dāna-</w:t>
      </w:r>
      <w:r>
        <w:rPr>
          <w:rStyle w:val="ColorRed"/>
        </w:rPr>
        <w:t xml:space="preserve">¿s?</w:t>
      </w:r>
      <w:r>
        <w:rPr>
          <w:rStyle w:val="ColorGreen"/>
        </w:rPr>
        <w:t xml:space="preserve">⟨p⟩</w:t>
      </w:r>
      <w:r>
        <w:t xml:space="preserve">ūta-śarīra</w:t>
      </w:r>
      <w:r>
        <w:rPr>
          <w:rStyle w:val="ColorRed"/>
        </w:rPr>
        <w:t xml:space="preserve">¿ḥ?</w:t>
      </w:r>
      <w:r>
        <w:rPr>
          <w:rStyle w:val="ColorGreen"/>
        </w:rPr>
        <w:t xml:space="preserve">⟨sya⟩</w:t>
      </w:r>
      <w:r>
        <w:t xml:space="preserve"> </w:t>
      </w:r>
      <w:r>
        <w:t xml:space="preserve">samasta-bhuvanāśraya-(ś)rī-(v)ijayādi</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⟨11⟩</w:t>
      </w:r>
      <w:r>
        <w:rPr>
          <w:rStyle w:val="ColorGray"/>
        </w:rPr>
        <w:t xml:space="preserve"> </w:t>
      </w:r>
      <w:r>
        <w:t xml:space="preserve">-(śrī)-ma(ṁgi)-yuvarājasya putraḥ samatiś</w:t>
      </w:r>
      <w:r>
        <w:rPr>
          <w:rStyle w:val="ColorMagenta"/>
        </w:rPr>
        <w:t xml:space="preserve">¡ai!</w:t>
      </w:r>
      <w:r>
        <w:rPr>
          <w:rStyle w:val="ColorBlue"/>
        </w:rPr>
        <w:t xml:space="preserve">⟨ayi⟩</w:t>
      </w:r>
      <w:r>
        <w:t xml:space="preserve">ta-pitr̥-guṇa-śakti-sampannaḥ samyak-(pra)</w:t>
      </w:r>
      <w:r>
        <w:rPr>
          <w:rStyle w:val="ColorGray"/>
        </w:rPr>
        <w:t xml:space="preserve">⟨12⟩</w:t>
      </w:r>
      <w:r>
        <w:t xml:space="preserve">jā-pālana-paraḫ parama-brahmaṇya⟨ḥ⟩ mātā-pitr̥-pādānudhy</w:t>
      </w:r>
      <w:r>
        <w:rPr>
          <w:rStyle w:val="ColorRed"/>
        </w:rPr>
        <w:t xml:space="preserve">¿a?</w:t>
      </w:r>
      <w:r>
        <w:rPr>
          <w:rStyle w:val="ColorGreen"/>
        </w:rPr>
        <w:t xml:space="preserve">⟨ā⟩</w:t>
      </w:r>
      <w:r>
        <w:t xml:space="preserve">taḥ samasta-bhuvanāśra</w:t>
      </w:r>
      <w:r>
        <w:rPr>
          <w:rStyle w:val="ColorGray"/>
        </w:rPr>
        <w:t xml:space="preserve">⟨13⟩</w:t>
      </w:r>
      <w:r>
        <w:t xml:space="preserve">ya-śrī-(vi)◯(ṣṇu)varddhana-mahārājādhirāja-parameśvara-bhaṭṭ</w:t>
      </w:r>
      <w:r>
        <w:rPr>
          <w:rStyle w:val="ColorRed"/>
        </w:rPr>
        <w:t xml:space="preserve">¿a?</w:t>
      </w:r>
      <w:r>
        <w:rPr>
          <w:rStyle w:val="ColorGreen"/>
        </w:rPr>
        <w:t xml:space="preserve">⟨ā⟩</w:t>
      </w:r>
      <w:r>
        <w:t xml:space="preserve">rakaḥ (A)ttili-viṣaye</w:t>
      </w:r>
      <w:r>
        <w:rPr>
          <w:rStyle w:val="ColorGray"/>
        </w:rPr>
        <w:t xml:space="preserve"> </w:t>
      </w:r>
      <w:r>
        <w:rPr>
          <w:rStyle w:val="ColorGray"/>
        </w:rPr>
        <w:t xml:space="preserve">⟨14⟩</w:t>
      </w:r>
      <w:r>
        <w:rPr>
          <w:rStyle w:val="ColorGray"/>
        </w:rPr>
        <w:t xml:space="preserve"> </w:t>
      </w:r>
      <w:r>
        <w:t xml:space="preserve">Ariye◯ṟu nāma grāme rāṣ</w:t>
      </w:r>
      <w:r>
        <w:rPr>
          <w:rStyle w:val="ColorRed"/>
        </w:rPr>
        <w:t xml:space="preserve">¿p?</w:t>
      </w:r>
      <w:r>
        <w:rPr>
          <w:rStyle w:val="ColorGreen"/>
        </w:rPr>
        <w:t xml:space="preserve">⟨ṭ⟩</w:t>
      </w:r>
      <w:r>
        <w:t xml:space="preserve">rakūṭa-pramukhāN sva-viṣaya-vā(si)naḥ kuṭu⟨ṁ⟩binaḥ sarvvā(n ittha)</w:t>
      </w:r>
      <w:r>
        <w:rPr>
          <w:rStyle w:val="ColorGray"/>
        </w:rPr>
        <w:t xml:space="preserve">⟨15⟩</w:t>
      </w:r>
      <w:r>
        <w:t xml:space="preserve">m ājṇāpayati</w:t>
      </w:r>
    </w:p>
    <w:p>
      <w:pPr>
        <w:pStyle w:val="BodyText"/>
      </w:pPr>
      <w:r>
        <w:t xml:space="preserve">viditam astu vo ⟨’⟩smābhiḥ padminy-agrahāra-vāstavyāya pāt</w:t>
      </w:r>
      <w:r>
        <w:rPr>
          <w:rStyle w:val="ColorMagenta"/>
        </w:rPr>
        <w:t xml:space="preserve">¡ā!</w:t>
      </w:r>
      <w:r>
        <w:rPr>
          <w:rStyle w:val="ColorBlue"/>
        </w:rPr>
        <w:t xml:space="preserve">⟨a⟩</w:t>
      </w:r>
      <w:r>
        <w:t xml:space="preserve">ñjala-sa(go)</w:t>
      </w:r>
      <w:r>
        <w:rPr>
          <w:rStyle w:val="ColorGray"/>
        </w:rPr>
        <w:t xml:space="preserve">⟨16⟩</w:t>
      </w:r>
      <w:r>
        <w:t xml:space="preserve">trāya Akhilātharvva-veda-vid</w:t>
      </w:r>
      <w:r>
        <w:rPr>
          <w:rStyle w:val="ColorMagenta"/>
        </w:rPr>
        <w:t xml:space="preserve">¡āya!</w:t>
      </w:r>
      <w:r>
        <w:rPr>
          <w:rStyle w:val="ColorBlue"/>
        </w:rPr>
        <w:t xml:space="preserve">⟨e⟩</w:t>
      </w:r>
      <w:r>
        <w:t xml:space="preserve"> </w:t>
      </w:r>
      <w:r>
        <w:t xml:space="preserve">sūkiśarmmaṇaḫ pautrāya (vi?)nyiśarmmaṇaḫ putr</w:t>
      </w:r>
      <w:r>
        <w:rPr>
          <w:rStyle w:val="ColorRed"/>
        </w:rPr>
        <w:t xml:space="preserve">¿a?</w:t>
      </w:r>
      <w:r>
        <w:rPr>
          <w:rStyle w:val="ColorGreen"/>
        </w:rPr>
        <w:t xml:space="preserve">⟨ā⟩</w:t>
      </w:r>
      <w:r>
        <w:t xml:space="preserve">ya (n)ūriśarmma(ṇe?)</w:t>
      </w:r>
      <w:r>
        <w:rPr>
          <w:rStyle w:val="ColorGray"/>
        </w:rPr>
        <w:t xml:space="preserve"> </w:t>
      </w:r>
      <w:r>
        <w:rPr>
          <w:rStyle w:val="ColorGray"/>
        </w:rPr>
        <w:t xml:space="preserve">⟨17⟩</w:t>
      </w:r>
      <w:r>
        <w:rPr>
          <w:rStyle w:val="ColorGray"/>
        </w:rPr>
        <w:t xml:space="preserve"> </w:t>
      </w:r>
      <w:r>
        <w:t xml:space="preserve">(divya-s)āmpadādi-karmma-vid</w:t>
      </w:r>
      <w:r>
        <w:rPr>
          <w:rStyle w:val="ColorMagenta"/>
        </w:rPr>
        <w:t xml:space="preserve">¡āya!</w:t>
      </w:r>
      <w:r>
        <w:rPr>
          <w:rStyle w:val="ColorBlue"/>
        </w:rPr>
        <w:t xml:space="preserve">⟨e⟩</w:t>
      </w:r>
      <w:r>
        <w:t xml:space="preserve"> </w:t>
      </w:r>
      <w:r>
        <w:t xml:space="preserve">(sūryya-gra)haṇa-ni⟨mi⟩t⟨t⟩e nivarttana-dvayaṁ kṣetram u[daka]</w:t>
      </w:r>
      <w:r>
        <w:rPr>
          <w:rStyle w:val="ColorGray"/>
        </w:rPr>
        <w:t xml:space="preserve">⟨Page 3r⟩</w:t>
      </w:r>
      <w:r>
        <w:rPr>
          <w:rStyle w:val="ColorGray"/>
        </w:rPr>
        <w:t xml:space="preserve">⟨18⟩</w:t>
      </w:r>
      <w:r>
        <w:t xml:space="preserve">-pūr</w:t>
      </w:r>
      <w:r>
        <w:rPr>
          <w:rStyle w:val="ColorRed"/>
        </w:rPr>
        <w:t xml:space="preserve">¿ddh?</w:t>
      </w:r>
      <w:r>
        <w:rPr>
          <w:rStyle w:val="ColorGreen"/>
        </w:rPr>
        <w:t xml:space="preserve">⟨vv⟩</w:t>
      </w:r>
      <w:r>
        <w:t xml:space="preserve">van</w:t>
      </w:r>
      <w:r>
        <w:t xml:space="preserve"> </w:t>
      </w:r>
      <w:r>
        <w:rPr>
          <w:rStyle w:val="ColorRed"/>
        </w:rPr>
        <w:t xml:space="preserve">¿y?</w:t>
      </w:r>
      <w:r>
        <w:rPr>
          <w:rStyle w:val="ColorGreen"/>
        </w:rPr>
        <w:t xml:space="preserve">⟨d⟩</w:t>
      </w:r>
      <w:r>
        <w:t xml:space="preserve">atta(M) Āvāsa-nikaṭa-sahitaM</w:t>
      </w:r>
    </w:p>
    <w:p>
      <w:pPr>
        <w:pStyle w:val="BodyText"/>
      </w:pPr>
      <w:r>
        <w:t xml:space="preserve">Asya (kṣe)trasya s</w:t>
      </w:r>
      <w:r>
        <w:rPr>
          <w:rStyle w:val="ColorRed"/>
        </w:rPr>
        <w:t xml:space="preserve">¿(o)?</w:t>
      </w:r>
      <w:r>
        <w:rPr>
          <w:rStyle w:val="ColorGreen"/>
        </w:rPr>
        <w:t xml:space="preserve">⟨ī⟩</w:t>
      </w:r>
      <w:r>
        <w:t xml:space="preserve">mantāḥ⟨.⟩ pūrvvataḥ tā</w:t>
      </w:r>
      <w:r>
        <w:rPr>
          <w:rStyle w:val="ColorGray"/>
        </w:rPr>
        <w:t xml:space="preserve">⟨19⟩</w:t>
      </w:r>
      <w:r>
        <w:t xml:space="preserve">mararvvā⟨.⟩ dakṣiṇata⟨ḥ⟩ duttiśa⟨r⟩mmaṇaḥ kṣetraM⟨.⟩ paścimata⟨ḥ⟩ grāma-kṣetra⟨M⟩⟨.⟩ Uttarataḥ pambi(kh?)o</w:t>
      </w:r>
      <w:r>
        <w:rPr>
          <w:rStyle w:val="ColorGray"/>
        </w:rPr>
        <w:t xml:space="preserve">⟨20⟩</w:t>
      </w:r>
      <w:r>
        <w:t xml:space="preserve">rāvi⟨.⟩ A◯s(y)opari na kenacid (b)ādhā karttavyā⟨.⟩ yaẖ karoti sa pañcabhir mmahā-pātakai</w:t>
      </w:r>
      <w:r>
        <w:rPr>
          <w:rStyle w:val="ColorGray"/>
        </w:rPr>
        <w:t xml:space="preserve">⟨21⟩</w:t>
      </w:r>
      <w:r>
        <w:t xml:space="preserve">s saṁyu◯kto bhavati⟨.⟩ tathā vyāsenāpy uktaM</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bahubhi</w:t>
      </w:r>
      <w:r>
        <w:rPr>
          <w:rStyle w:val="ColorGray"/>
        </w:rPr>
        <w:t xml:space="preserve">⟨22⟩</w:t>
      </w:r>
      <w:r>
        <w:t xml:space="preserve">ś cānupālitā(||)</w:t>
      </w:r>
      <w:r>
        <w:br/>
      </w:r>
      <w:r>
        <w:t xml:space="preserve">yasya yasya yadā bhūmis</w:t>
      </w:r>
      <w:r>
        <w:br/>
      </w:r>
      <w:r>
        <w:t xml:space="preserve">tasya tasya tadā phalaM||</w:t>
      </w:r>
    </w:p>
    <w:p>
      <w:pPr>
        <w:pStyle w:val="BodyText"/>
      </w:pPr>
      <w:r>
        <w:t xml:space="preserve">2.</w:t>
      </w:r>
      <w:r>
        <w:t xml:space="preserve"> </w:t>
      </w:r>
      <w:hyperlink r:id="rId9">
        <w:r>
          <w:rPr>
            <w:rStyle w:val="Hyperlink"/>
          </w:rPr>
          <w:t xml:space="preserve">Anuṣṭubh</w:t>
        </w:r>
      </w:hyperlink>
    </w:p>
    <w:p>
      <w:pPr>
        <w:pStyle w:val="BodyText"/>
      </w:pPr>
      <w:r>
        <w:t xml:space="preserve">sva-dat(t)ā</w:t>
      </w:r>
      <w:r>
        <w:rPr>
          <w:rStyle w:val="ColorGray"/>
        </w:rPr>
        <w:t xml:space="preserve">⟨23⟩</w:t>
      </w:r>
      <w:r>
        <w:t xml:space="preserve">m para-dattā(ṁ) vā</w:t>
      </w:r>
      <w:r>
        <w:br/>
      </w:r>
      <w:r>
        <w:t xml:space="preserve">yo ha</w:t>
      </w:r>
      <w:r>
        <w:rPr>
          <w:rStyle w:val="ColorRed"/>
        </w:rPr>
        <w:t xml:space="preserve">¿k?</w:t>
      </w:r>
      <w:r>
        <w:rPr>
          <w:rStyle w:val="ColorGreen"/>
        </w:rPr>
        <w:t xml:space="preserve">⟨r⟩</w:t>
      </w:r>
      <w:r>
        <w:t xml:space="preserve">eta vasundharā⟨ṁ⟩</w:t>
      </w:r>
      <w:r>
        <w:br/>
      </w:r>
      <w:r>
        <w:t xml:space="preserve">ṣaṣ</w:t>
      </w:r>
      <w:r>
        <w:rPr>
          <w:rStyle w:val="ColorRed"/>
        </w:rPr>
        <w:t xml:space="preserve">¿ṭh?</w:t>
      </w:r>
      <w:r>
        <w:rPr>
          <w:rStyle w:val="ColorGreen"/>
        </w:rPr>
        <w:t xml:space="preserve">⟨ṭ⟩</w:t>
      </w:r>
      <w:r>
        <w:t xml:space="preserve">i-va⟨r⟩ṣṣa-sahasrāṇi</w:t>
      </w:r>
      <w:r>
        <w:br/>
      </w:r>
      <w:r>
        <w:t xml:space="preserve">viṣṭhāyā⟨ṁ⟩ jā(ya)</w:t>
      </w:r>
      <w:r>
        <w:rPr>
          <w:rStyle w:val="ColorGray"/>
        </w:rPr>
        <w:t xml:space="preserve">⟨24⟩</w:t>
      </w:r>
      <w:r>
        <w:t xml:space="preserve">te kr̥miḥ||</w:t>
      </w:r>
    </w:p>
    <w:p>
      <w:pPr>
        <w:pStyle w:val="BodyText"/>
      </w:pPr>
      <w:r>
        <w:t xml:space="preserve">Ājñaptir asya dha⟨r⟩mmasya nissaramiṇyi</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⟨2⟩</w:t>
      </w:r>
      <w:r>
        <w:t xml:space="preserve"> </w:t>
      </w:r>
      <w:r>
        <w:t xml:space="preserve">r(ā)</w:t>
      </w:r>
      <w:r>
        <w:rPr>
          <w:rStyle w:val="ColorRed"/>
        </w:rPr>
        <w:t xml:space="preserve">¿bdha?</w:t>
      </w:r>
      <w:r>
        <w:rPr>
          <w:rStyle w:val="ColorGreen"/>
        </w:rPr>
        <w:t xml:space="preserve">⟨jyā⟩</w:t>
      </w:r>
      <w:r>
        <w:t xml:space="preserve">nā⟨ṁ⟩ ⬦</w:t>
      </w:r>
      <w:r>
        <w:t xml:space="preserve"> </w:t>
      </w:r>
      <w:r>
        <w:rPr>
          <w:rStyle w:val="ColorGreen"/>
          <w:i/>
          <w:iCs/>
        </w:rPr>
        <w:t xml:space="preserve">rā(jyā)nāṁ</w:t>
      </w:r>
      <w:r>
        <w:t xml:space="preserve"> </w:t>
      </w:r>
      <w:r>
        <w:t xml:space="preserve">MDS.</w:t>
      </w:r>
    </w:p>
    <w:p>
      <w:pPr>
        <w:pStyle w:val="BodyText"/>
      </w:pPr>
      <w:r>
        <w:rPr>
          <w:rStyle w:val="ColorGray"/>
        </w:rPr>
        <w:t xml:space="preserve">⟨6⟩</w:t>
      </w:r>
      <w:r>
        <w:t xml:space="preserve"> </w:t>
      </w:r>
      <w:r>
        <w:t xml:space="preserve">vapu</w:t>
      </w:r>
      <w:r>
        <w:rPr>
          <w:rStyle w:val="ColorRed"/>
        </w:rPr>
        <w:t xml:space="preserve">¿p?</w:t>
      </w:r>
      <w:r>
        <w:rPr>
          <w:rStyle w:val="ColorGreen"/>
        </w:rPr>
        <w:t xml:space="preserve">⟨ṣ⟩</w:t>
      </w:r>
      <w:r>
        <w:t xml:space="preserve">āṁ ⬦</w:t>
      </w:r>
      <w:r>
        <w:t xml:space="preserve"> </w:t>
      </w:r>
      <w:r>
        <w:rPr>
          <w:rStyle w:val="ColorGreen"/>
          <w:i/>
          <w:iCs/>
        </w:rPr>
        <w:t xml:space="preserve">vapuṣāṁ</w:t>
      </w:r>
      <w:r>
        <w:t xml:space="preserve"> </w:t>
      </w:r>
      <w:r>
        <w:t xml:space="preserve">MDS. —</w:t>
      </w:r>
      <w:r>
        <w:t xml:space="preserve"> </w:t>
      </w:r>
      <w:r>
        <w:rPr>
          <w:rStyle w:val="ColorGray"/>
        </w:rPr>
        <w:t xml:space="preserve">⟨6⟩</w:t>
      </w:r>
      <w:r>
        <w:t xml:space="preserve"> </w:t>
      </w:r>
      <w:r>
        <w:t xml:space="preserve">kula⟨m a⟩</w:t>
      </w:r>
      <w:r>
        <w:rPr>
          <w:rStyle w:val="ColorGray"/>
        </w:rPr>
        <w:t xml:space="preserve">⟨7⟩</w:t>
      </w:r>
      <w:r>
        <w:t xml:space="preserve">la(ṁ)kariṣṇor ⬦</w:t>
      </w:r>
      <w:r>
        <w:t xml:space="preserve"> </w:t>
      </w:r>
      <w:r>
        <w:rPr>
          <w:rStyle w:val="ColorGreen"/>
          <w:i/>
          <w:iCs/>
        </w:rPr>
        <w:t xml:space="preserve">kulam ā</w:t>
      </w:r>
      <w:r>
        <w:rPr>
          <w:rStyle w:val="ColorGray"/>
          <w:i/>
          <w:iCs/>
        </w:rPr>
        <w:t xml:space="preserve">⟨7⟩</w:t>
      </w:r>
      <w:r>
        <w:rPr>
          <w:rStyle w:val="ColorGreen"/>
          <w:i/>
          <w:iCs/>
        </w:rPr>
        <w:t xml:space="preserve">(laṁ)kariṣṇor</w:t>
      </w:r>
      <w:r>
        <w:t xml:space="preserve"> </w:t>
      </w:r>
      <w:r>
        <w:t xml:space="preserve">MDS • The top right corner of the plate is broken off. The blurred marks near the corner may perhaps be remnants of</w:t>
      </w:r>
      <w:r>
        <w:t xml:space="preserve"> </w:t>
      </w:r>
      <w:r>
        <w:rPr>
          <w:i/>
          <w:iCs/>
        </w:rPr>
        <w:t xml:space="preserve">ma</w:t>
      </w:r>
      <w:r>
        <w:t xml:space="preserve"> </w:t>
      </w:r>
      <w:r>
        <w:t xml:space="preserve">(or</w:t>
      </w:r>
      <w:r>
        <w:t xml:space="preserve"> </w:t>
      </w:r>
      <w:r>
        <w:rPr>
          <w:i/>
          <w:iCs/>
        </w:rPr>
        <w:t xml:space="preserve">mā</w:t>
      </w:r>
      <w:r>
        <w:t xml:space="preserve"> </w:t>
      </w:r>
      <w:r>
        <w:t xml:space="preserve">as per MDS), but if a character had ever been present here, it must have been very small. Scribal omission is more likely.</w:t>
      </w:r>
    </w:p>
    <w:p>
      <w:pPr>
        <w:pStyle w:val="BodyText"/>
      </w:pPr>
      <w:r>
        <w:rPr>
          <w:rStyle w:val="ColorGray"/>
        </w:rPr>
        <w:t xml:space="preserve">⟨7⟩</w:t>
      </w:r>
      <w:r>
        <w:t xml:space="preserve"> </w:t>
      </w:r>
      <w:r>
        <w:t xml:space="preserve">yaśa⟨saḥ⟩ śrī- ⬦</w:t>
      </w:r>
      <w:r>
        <w:t xml:space="preserve"> </w:t>
      </w:r>
      <w:r>
        <w:rPr>
          <w:rStyle w:val="ColorGreen"/>
          <w:i/>
          <w:iCs/>
        </w:rPr>
        <w:t xml:space="preserve">yaśaś śrī-</w:t>
      </w:r>
      <w:r>
        <w:t xml:space="preserve"> </w:t>
      </w:r>
      <w:r>
        <w:t xml:space="preserve">MDS.</w:t>
      </w:r>
    </w:p>
    <w:p>
      <w:pPr>
        <w:pStyle w:val="BodyText"/>
      </w:pPr>
      <w:r>
        <w:rPr>
          <w:rStyle w:val="ColorGray"/>
        </w:rPr>
        <w:t xml:space="preserve">⟨10⟩</w:t>
      </w:r>
      <w:r>
        <w:t xml:space="preserve"> </w:t>
      </w:r>
      <w:r>
        <w:t xml:space="preserve">-</w:t>
      </w:r>
      <w:r>
        <w:rPr>
          <w:rStyle w:val="ColorRed"/>
        </w:rPr>
        <w:t xml:space="preserve">¿s?</w:t>
      </w:r>
      <w:r>
        <w:rPr>
          <w:rStyle w:val="ColorGreen"/>
        </w:rPr>
        <w:t xml:space="preserve">⟨p⟩</w:t>
      </w:r>
      <w:r>
        <w:t xml:space="preserve">ūta- ⬦</w:t>
      </w:r>
      <w:r>
        <w:t xml:space="preserve"> </w:t>
      </w:r>
      <w:r>
        <w:rPr>
          <w:rStyle w:val="ColorGreen"/>
          <w:i/>
          <w:iCs/>
        </w:rPr>
        <w:t xml:space="preserve">-pūta-</w:t>
      </w:r>
      <w:r>
        <w:t xml:space="preserve"> </w:t>
      </w:r>
      <w:r>
        <w:t xml:space="preserve">MDS. —</w:t>
      </w:r>
      <w:r>
        <w:t xml:space="preserve"> </w:t>
      </w:r>
      <w:r>
        <w:rPr>
          <w:rStyle w:val="ColorGray"/>
        </w:rPr>
        <w:t xml:space="preserve">⟨10⟩</w:t>
      </w:r>
      <w:r>
        <w:t xml:space="preserve"> </w:t>
      </w:r>
      <w:r>
        <w:t xml:space="preserve">-(v)ijayādi- ⬦</w:t>
      </w:r>
      <w:r>
        <w:t xml:space="preserve"> </w:t>
      </w:r>
      <w:r>
        <w:rPr>
          <w:rStyle w:val="ColorGreen"/>
          <w:i/>
          <w:iCs/>
        </w:rPr>
        <w:t xml:space="preserve">-vijayādi⟨tya⟩-</w:t>
      </w:r>
      <w:r>
        <w:t xml:space="preserve"> </w:t>
      </w:r>
      <w:r>
        <w:t xml:space="preserve">SS MDS • The name Vijayāditya is not applied to Maṅgi Yuvarāja anywhere else, so I prefer not to restore it here. See the commentary.</w:t>
      </w:r>
    </w:p>
    <w:p>
      <w:pPr>
        <w:pStyle w:val="BodyText"/>
      </w:pPr>
      <w:r>
        <w:rPr>
          <w:rStyle w:val="ColorGray"/>
        </w:rPr>
        <w:t xml:space="preserve">⟨11⟩</w:t>
      </w:r>
      <w:r>
        <w:t xml:space="preserve"> </w:t>
      </w:r>
      <w:r>
        <w:t xml:space="preserve">samyak-(pra)</w:t>
      </w:r>
      <w:r>
        <w:rPr>
          <w:rStyle w:val="ColorGray"/>
        </w:rPr>
        <w:t xml:space="preserve">⟨12⟩</w:t>
      </w:r>
      <w:r>
        <w:t xml:space="preserve">jā-pālana-paraḫ parama- ⬦</w:t>
      </w:r>
      <w:r>
        <w:t xml:space="preserve"> </w:t>
      </w:r>
      <w:r>
        <w:rPr>
          <w:rStyle w:val="ColorGreen"/>
          <w:i/>
          <w:iCs/>
        </w:rPr>
        <w:t xml:space="preserve">[2×]</w:t>
      </w:r>
      <w:r>
        <w:rPr>
          <w:rStyle w:val="ColorGray"/>
          <w:i/>
          <w:iCs/>
        </w:rPr>
        <w:t xml:space="preserve">⟨12⟩</w:t>
      </w:r>
      <w:r>
        <w:rPr>
          <w:rStyle w:val="ColorGreen"/>
          <w:i/>
          <w:iCs/>
        </w:rPr>
        <w:t xml:space="preserve">jāpāla[3×]ṟparama-</w:t>
      </w:r>
      <w:r>
        <w:t xml:space="preserve"> </w:t>
      </w:r>
      <w:r>
        <w:t xml:space="preserve">MDS.</w:t>
      </w:r>
    </w:p>
    <w:p>
      <w:pPr>
        <w:pStyle w:val="BodyText"/>
      </w:pPr>
      <w:r>
        <w:rPr>
          <w:rStyle w:val="ColorGray"/>
        </w:rPr>
        <w:t xml:space="preserve">⟨13⟩</w:t>
      </w:r>
      <w:r>
        <w:t xml:space="preserve"> </w:t>
      </w:r>
      <w:r>
        <w:t xml:space="preserve">-śrī-(vi)◯(ṣṇu)varddhana- ⬦</w:t>
      </w:r>
      <w:r>
        <w:t xml:space="preserve"> </w:t>
      </w:r>
      <w:r>
        <w:rPr>
          <w:rStyle w:val="ColorGreen"/>
          <w:i/>
          <w:iCs/>
        </w:rPr>
        <w:t xml:space="preserve">-viṣṇuvarddhana-</w:t>
      </w:r>
      <w:r>
        <w:t xml:space="preserve"> </w:t>
      </w:r>
      <w:r>
        <w:t xml:space="preserve">MDS.</w:t>
      </w:r>
    </w:p>
    <w:p>
      <w:pPr>
        <w:pStyle w:val="BodyText"/>
      </w:pPr>
      <w:r>
        <w:rPr>
          <w:rStyle w:val="ColorGray"/>
        </w:rPr>
        <w:t xml:space="preserve">⟨14⟩</w:t>
      </w:r>
      <w:r>
        <w:t xml:space="preserve"> </w:t>
      </w:r>
      <w:r>
        <w:t xml:space="preserve">Ariye◯ṟu ⬦</w:t>
      </w:r>
      <w:r>
        <w:t xml:space="preserve"> </w:t>
      </w:r>
      <w:r>
        <w:rPr>
          <w:rStyle w:val="ColorGreen"/>
          <w:i/>
          <w:iCs/>
        </w:rPr>
        <w:t xml:space="preserve">Ariyeḍu</w:t>
      </w:r>
      <w:r>
        <w:t xml:space="preserve"> </w:t>
      </w:r>
      <w:r>
        <w:t xml:space="preserve">SS MDS. —</w:t>
      </w:r>
      <w:r>
        <w:t xml:space="preserve"> </w:t>
      </w:r>
      <w:r>
        <w:rPr>
          <w:rStyle w:val="ColorGray"/>
        </w:rPr>
        <w:t xml:space="preserve">⟨14⟩</w:t>
      </w:r>
      <w:r>
        <w:t xml:space="preserve"> </w:t>
      </w:r>
      <w:r>
        <w:t xml:space="preserve">rāṣ</w:t>
      </w:r>
      <w:r>
        <w:rPr>
          <w:rStyle w:val="ColorRed"/>
        </w:rPr>
        <w:t xml:space="preserve">¿p?</w:t>
      </w:r>
      <w:r>
        <w:rPr>
          <w:rStyle w:val="ColorGreen"/>
        </w:rPr>
        <w:t xml:space="preserve">⟨ṭ⟩</w:t>
      </w:r>
      <w:r>
        <w:t xml:space="preserve">rakūṭa- ⬦</w:t>
      </w:r>
      <w:r>
        <w:t xml:space="preserve"> </w:t>
      </w:r>
      <w:r>
        <w:rPr>
          <w:rStyle w:val="ColorGreen"/>
          <w:i/>
          <w:iCs/>
        </w:rPr>
        <w:t xml:space="preserve">rāṣṭrakūṭa-</w:t>
      </w:r>
      <w:r>
        <w:t xml:space="preserve"> </w:t>
      </w:r>
      <w:r>
        <w:t xml:space="preserve">MDS.</w:t>
      </w:r>
    </w:p>
    <w:p>
      <w:pPr>
        <w:pStyle w:val="BodyText"/>
      </w:pPr>
      <w:r>
        <w:rPr>
          <w:rStyle w:val="ColorGray"/>
        </w:rPr>
        <w:t xml:space="preserve">⟨16⟩</w:t>
      </w:r>
      <w:r>
        <w:t xml:space="preserve"> </w:t>
      </w:r>
      <w:r>
        <w:t xml:space="preserve">sūkiśarmmaṇaḫ ⬦</w:t>
      </w:r>
      <w:r>
        <w:t xml:space="preserve"> </w:t>
      </w:r>
      <w:r>
        <w:rPr>
          <w:rStyle w:val="ColorGreen"/>
          <w:i/>
          <w:iCs/>
        </w:rPr>
        <w:t xml:space="preserve">sūriśarmmaṇaḫ</w:t>
      </w:r>
      <w:r>
        <w:t xml:space="preserve"> </w:t>
      </w:r>
      <w:r>
        <w:t xml:space="preserve">SS MDS • The intended name may have been Sūriśarman, but the</w:t>
      </w:r>
      <w:r>
        <w:t xml:space="preserve"> </w:t>
      </w:r>
      <w:r>
        <w:rPr>
          <w:i/>
          <w:iCs/>
        </w:rPr>
        <w:t xml:space="preserve">k</w:t>
      </w:r>
      <w:r>
        <w:t xml:space="preserve"> </w:t>
      </w:r>
      <w:r>
        <w:t xml:space="preserve">is certain in the estampage. Cf.</w:t>
      </w:r>
      <w:r>
        <w:t xml:space="preserve"> </w:t>
      </w:r>
      <w:r>
        <w:rPr>
          <w:i/>
          <w:iCs/>
        </w:rPr>
        <w:t xml:space="preserve">haketa</w:t>
      </w:r>
      <w:r>
        <w:t xml:space="preserve"> </w:t>
      </w:r>
      <w:r>
        <w:t xml:space="preserve">in line 23 and the grandson’s name later in this line. —</w:t>
      </w:r>
      <w:r>
        <w:t xml:space="preserve"> </w:t>
      </w:r>
      <w:r>
        <w:rPr>
          <w:rStyle w:val="ColorGray"/>
        </w:rPr>
        <w:t xml:space="preserve">⟨16⟩</w:t>
      </w:r>
      <w:r>
        <w:t xml:space="preserve"> </w:t>
      </w:r>
      <w:r>
        <w:t xml:space="preserve">pautrāya (vi?)nyiśarmmaṇaḫ ⬦</w:t>
      </w:r>
      <w:r>
        <w:t xml:space="preserve"> </w:t>
      </w:r>
      <w:r>
        <w:rPr>
          <w:rStyle w:val="ColorGreen"/>
          <w:i/>
          <w:iCs/>
        </w:rPr>
        <w:t xml:space="preserve">(pautrāya na)nyiśarmmaṇaḫ</w:t>
      </w:r>
      <w:r>
        <w:t xml:space="preserve"> </w:t>
      </w:r>
      <w:r>
        <w:t xml:space="preserve">SS;</w:t>
      </w:r>
      <w:r>
        <w:t xml:space="preserve"> </w:t>
      </w:r>
      <w:r>
        <w:rPr>
          <w:rStyle w:val="ColorGreen"/>
          <w:i/>
          <w:iCs/>
        </w:rPr>
        <w:t xml:space="preserve">pautrāyan-Angiśarmmaṇaḥ</w:t>
      </w:r>
      <w:r>
        <w:t xml:space="preserve"> </w:t>
      </w:r>
      <w:r>
        <w:t xml:space="preserve">MDS • The character I tentatively read as</w:t>
      </w:r>
      <w:r>
        <w:t xml:space="preserve"> </w:t>
      </w:r>
      <w:r>
        <w:rPr>
          <w:i/>
          <w:iCs/>
        </w:rPr>
        <w:t xml:space="preserve">vi</w:t>
      </w:r>
      <w:r>
        <w:t xml:space="preserve"> </w:t>
      </w:r>
      <w:r>
        <w:t xml:space="preserve">may well be</w:t>
      </w:r>
      <w:r>
        <w:t xml:space="preserve"> </w:t>
      </w:r>
      <w:r>
        <w:rPr>
          <w:i/>
          <w:iCs/>
        </w:rPr>
        <w:t xml:space="preserve">na</w:t>
      </w:r>
      <w:r>
        <w:t xml:space="preserve">, as well as a number of other things. The next character is beyond doubt</w:t>
      </w:r>
      <w:r>
        <w:t xml:space="preserve"> </w:t>
      </w:r>
      <w:r>
        <w:rPr>
          <w:i/>
          <w:iCs/>
        </w:rPr>
        <w:t xml:space="preserve">nyi</w:t>
      </w:r>
      <w:r>
        <w:t xml:space="preserve">. I am unable to guess the exact reading MDS had in mind and cite his transliteration to the letter. —</w:t>
      </w:r>
      <w:r>
        <w:t xml:space="preserve"> </w:t>
      </w:r>
      <w:r>
        <w:rPr>
          <w:rStyle w:val="ColorGray"/>
        </w:rPr>
        <w:t xml:space="preserve">⟨16⟩</w:t>
      </w:r>
      <w:r>
        <w:t xml:space="preserve"> </w:t>
      </w:r>
      <w:r>
        <w:t xml:space="preserve">(n)ūriśarmma(ṇe?) ⬦</w:t>
      </w:r>
      <w:r>
        <w:t xml:space="preserve"> </w:t>
      </w:r>
      <w:r>
        <w:rPr>
          <w:rStyle w:val="ColorGreen"/>
          <w:i/>
          <w:iCs/>
        </w:rPr>
        <w:t xml:space="preserve">sūriśarmmaṇe</w:t>
      </w:r>
      <w:r>
        <w:t xml:space="preserve"> </w:t>
      </w:r>
      <w:r>
        <w:t xml:space="preserve">SS MDS • The intended name may have been Sūriśarman, but the consonant looks like</w:t>
      </w:r>
      <w:r>
        <w:t xml:space="preserve"> </w:t>
      </w:r>
      <w:r>
        <w:rPr>
          <w:i/>
          <w:iCs/>
        </w:rPr>
        <w:t xml:space="preserve">n</w:t>
      </w:r>
      <w:r>
        <w:t xml:space="preserve">. Cf. the grandfather’s name earlier in this line.</w:t>
      </w:r>
    </w:p>
    <w:p>
      <w:pPr>
        <w:pStyle w:val="BodyText"/>
      </w:pPr>
      <w:r>
        <w:rPr>
          <w:rStyle w:val="ColorGray"/>
        </w:rPr>
        <w:t xml:space="preserve">⟨17⟩</w:t>
      </w:r>
      <w:r>
        <w:t xml:space="preserve"> </w:t>
      </w:r>
      <w:r>
        <w:t xml:space="preserve">(divya-s)āmpadādi-karmma- ⬦</w:t>
      </w:r>
      <w:r>
        <w:t xml:space="preserve"> </w:t>
      </w:r>
      <w:r>
        <w:rPr>
          <w:rStyle w:val="ColorGreen"/>
          <w:i/>
          <w:iCs/>
        </w:rPr>
        <w:t xml:space="preserve">divya-sāṁpradāyādi-karmma-</w:t>
      </w:r>
      <w:r>
        <w:t xml:space="preserve"> </w:t>
      </w:r>
      <w:r>
        <w:t xml:space="preserve">SS;</w:t>
      </w:r>
      <w:r>
        <w:t xml:space="preserve"> </w:t>
      </w:r>
      <w:r>
        <w:rPr>
          <w:rStyle w:val="ColorGreen"/>
          <w:i/>
          <w:iCs/>
        </w:rPr>
        <w:t xml:space="preserve">(divya)-sārmmadādi-karmma-</w:t>
      </w:r>
      <w:r>
        <w:t xml:space="preserve"> </w:t>
      </w:r>
      <w:r>
        <w:t xml:space="preserve">MDS • The reading is reasonably clear for the first two characters and certain for the rest, but I cannot confidently interpret it. I wonder if</w:t>
      </w:r>
      <w:r>
        <w:t xml:space="preserve"> </w:t>
      </w:r>
      <w:r>
        <w:rPr>
          <w:i/>
          <w:iCs/>
        </w:rPr>
        <w:t xml:space="preserve">divya-sāmpādika-karmma</w:t>
      </w:r>
      <w:r>
        <w:t xml:space="preserve"> </w:t>
      </w:r>
      <w:r>
        <w:t xml:space="preserve">may have been intended. —</w:t>
      </w:r>
      <w:r>
        <w:t xml:space="preserve"> </w:t>
      </w:r>
      <w:r>
        <w:rPr>
          <w:rStyle w:val="ColorGray"/>
        </w:rPr>
        <w:t xml:space="preserve">⟨17⟩</w:t>
      </w:r>
      <w:r>
        <w:t xml:space="preserve"> </w:t>
      </w:r>
      <w:r>
        <w:t xml:space="preserve">-ni⟨mi⟩t⟨t⟩e ⬦</w:t>
      </w:r>
      <w:r>
        <w:t xml:space="preserve"> </w:t>
      </w:r>
      <w:r>
        <w:rPr>
          <w:rStyle w:val="ColorGreen"/>
          <w:i/>
          <w:iCs/>
        </w:rPr>
        <w:t xml:space="preserve">nimitte</w:t>
      </w:r>
      <w:r>
        <w:t xml:space="preserve"> </w:t>
      </w:r>
      <w:r>
        <w:t xml:space="preserve">MDS. —</w:t>
      </w:r>
      <w:r>
        <w:t xml:space="preserve"> </w:t>
      </w:r>
      <w:r>
        <w:rPr>
          <w:rStyle w:val="ColorGray"/>
        </w:rPr>
        <w:t xml:space="preserve">⟨17⟩</w:t>
      </w:r>
      <w:r>
        <w:t xml:space="preserve"> </w:t>
      </w:r>
      <w:r>
        <w:t xml:space="preserve">u[daka]- ⬦</w:t>
      </w:r>
      <w:r>
        <w:t xml:space="preserve"> </w:t>
      </w:r>
      <w:r>
        <w:rPr>
          <w:rStyle w:val="ColorGreen"/>
          <w:i/>
          <w:iCs/>
        </w:rPr>
        <w:t xml:space="preserve">udaka-</w:t>
      </w:r>
      <w:r>
        <w:t xml:space="preserve"> </w:t>
      </w:r>
      <w:r>
        <w:t xml:space="preserve">MDS • The broken-off corner of the plate is too small to have accommodated two lost characters comfortably. Either they were very small, or only one was inscribed and the other omitted by the scribe. MDS is unlikely to have seen those characters, since SS also shows them as lost and supplied.</w:t>
      </w:r>
    </w:p>
    <w:p>
      <w:pPr>
        <w:pStyle w:val="BodyText"/>
      </w:pPr>
      <w:r>
        <w:rPr>
          <w:rStyle w:val="ColorGray"/>
        </w:rPr>
        <w:t xml:space="preserve">⟨18⟩</w:t>
      </w:r>
      <w:r>
        <w:t xml:space="preserve"> </w:t>
      </w:r>
      <w:r>
        <w:t xml:space="preserve">-pūr</w:t>
      </w:r>
      <w:r>
        <w:rPr>
          <w:rStyle w:val="ColorRed"/>
        </w:rPr>
        <w:t xml:space="preserve">¿ddh?</w:t>
      </w:r>
      <w:r>
        <w:rPr>
          <w:rStyle w:val="ColorGreen"/>
        </w:rPr>
        <w:t xml:space="preserve">⟨vv⟩</w:t>
      </w:r>
      <w:r>
        <w:t xml:space="preserve">van</w:t>
      </w:r>
      <w:r>
        <w:t xml:space="preserve"> </w:t>
      </w:r>
      <w:r>
        <w:rPr>
          <w:rStyle w:val="ColorRed"/>
        </w:rPr>
        <w:t xml:space="preserve">¿y?</w:t>
      </w:r>
      <w:r>
        <w:rPr>
          <w:rStyle w:val="ColorGreen"/>
        </w:rPr>
        <w:t xml:space="preserve">⟨d⟩</w:t>
      </w:r>
      <w:r>
        <w:t xml:space="preserve">atta(M) ⬦</w:t>
      </w:r>
      <w:r>
        <w:t xml:space="preserve"> </w:t>
      </w:r>
      <w:r>
        <w:rPr>
          <w:rStyle w:val="ColorGreen"/>
          <w:i/>
          <w:iCs/>
        </w:rPr>
        <w:t xml:space="preserve">-pūrvvvam dattaM</w:t>
      </w:r>
      <w:r>
        <w:t xml:space="preserve"> </w:t>
      </w:r>
      <w:r>
        <w:t xml:space="preserve">MDS. —</w:t>
      </w:r>
      <w:r>
        <w:t xml:space="preserve"> </w:t>
      </w:r>
      <w:r>
        <w:rPr>
          <w:rStyle w:val="ColorGray"/>
        </w:rPr>
        <w:t xml:space="preserve">⟨18⟩</w:t>
      </w:r>
      <w:r>
        <w:t xml:space="preserve"> </w:t>
      </w:r>
      <w:r>
        <w:t xml:space="preserve">s</w:t>
      </w:r>
      <w:r>
        <w:rPr>
          <w:rStyle w:val="ColorRed"/>
        </w:rPr>
        <w:t xml:space="preserve">¿(o)?</w:t>
      </w:r>
      <w:r>
        <w:rPr>
          <w:rStyle w:val="ColorGreen"/>
        </w:rPr>
        <w:t xml:space="preserve">⟨ī⟩</w:t>
      </w:r>
      <w:r>
        <w:t xml:space="preserve">mantāḥ ⬦</w:t>
      </w:r>
      <w:r>
        <w:t xml:space="preserve"> </w:t>
      </w:r>
      <w:r>
        <w:rPr>
          <w:rStyle w:val="ColorGreen"/>
          <w:i/>
          <w:iCs/>
        </w:rPr>
        <w:t xml:space="preserve">sīmāntāḥ</w:t>
      </w:r>
      <w:r>
        <w:t xml:space="preserve"> </w:t>
      </w:r>
      <w:r>
        <w:t xml:space="preserve">MDS. —</w:t>
      </w:r>
      <w:r>
        <w:t xml:space="preserve"> </w:t>
      </w:r>
      <w:r>
        <w:rPr>
          <w:rStyle w:val="ColorGray"/>
        </w:rPr>
        <w:t xml:space="preserve">⟨18⟩</w:t>
      </w:r>
      <w:r>
        <w:t xml:space="preserve"> </w:t>
      </w:r>
      <w:r>
        <w:t xml:space="preserve">tā</w:t>
      </w:r>
      <w:r>
        <w:rPr>
          <w:rStyle w:val="ColorGray"/>
        </w:rPr>
        <w:t xml:space="preserve">⟨19⟩</w:t>
      </w:r>
      <w:r>
        <w:t xml:space="preserve">mararvvā ⬦</w:t>
      </w:r>
      <w:r>
        <w:t xml:space="preserve"> </w:t>
      </w:r>
      <w:r>
        <w:rPr>
          <w:rStyle w:val="ColorGreen"/>
          <w:i/>
          <w:iCs/>
        </w:rPr>
        <w:t xml:space="preserve">tā</w:t>
      </w:r>
      <w:r>
        <w:rPr>
          <w:rStyle w:val="ColorGray"/>
          <w:i/>
          <w:iCs/>
        </w:rPr>
        <w:t xml:space="preserve">⟨19⟩</w:t>
      </w:r>
      <w:r>
        <w:rPr>
          <w:rStyle w:val="ColorGreen"/>
          <w:i/>
          <w:iCs/>
        </w:rPr>
        <w:t xml:space="preserve">maravvā⟨ḍa⟩</w:t>
      </w:r>
      <w:r>
        <w:t xml:space="preserve"> </w:t>
      </w:r>
      <w:r>
        <w:t xml:space="preserve">SS;</w:t>
      </w:r>
      <w:r>
        <w:t xml:space="preserve"> </w:t>
      </w:r>
      <w:r>
        <w:rPr>
          <w:rStyle w:val="ColorGreen"/>
          <w:i/>
          <w:iCs/>
        </w:rPr>
        <w:t xml:space="preserve">tā</w:t>
      </w:r>
      <w:r>
        <w:rPr>
          <w:rStyle w:val="ColorGray"/>
          <w:i/>
          <w:iCs/>
        </w:rPr>
        <w:t xml:space="preserve">⟨19⟩</w:t>
      </w:r>
      <w:r>
        <w:rPr>
          <w:rStyle w:val="ColorGreen"/>
          <w:i/>
          <w:iCs/>
        </w:rPr>
        <w:t xml:space="preserve">maravvāḍa</w:t>
      </w:r>
      <w:r>
        <w:t xml:space="preserve"> </w:t>
      </w:r>
      <w:r>
        <w:t xml:space="preserve">MDS • I assume that the (silent) emendation by the Telugu-speaking previous scholars is meaningful.</w:t>
      </w:r>
    </w:p>
    <w:p>
      <w:pPr>
        <w:pStyle w:val="BodyText"/>
      </w:pPr>
      <w:r>
        <w:rPr>
          <w:rStyle w:val="ColorGray"/>
        </w:rPr>
        <w:t xml:space="preserve">⟨19⟩</w:t>
      </w:r>
      <w:r>
        <w:t xml:space="preserve"> </w:t>
      </w:r>
      <w:r>
        <w:t xml:space="preserve">pambi(kh?)o</w:t>
      </w:r>
      <w:r>
        <w:rPr>
          <w:rStyle w:val="ColorGray"/>
        </w:rPr>
        <w:t xml:space="preserve">⟨20⟩</w:t>
      </w:r>
      <w:r>
        <w:t xml:space="preserve">rāvi SS ⬦</w:t>
      </w:r>
      <w:r>
        <w:t xml:space="preserve"> </w:t>
      </w:r>
      <w:r>
        <w:rPr>
          <w:rStyle w:val="ColorGreen"/>
          <w:i/>
          <w:iCs/>
        </w:rPr>
        <w:t xml:space="preserve">tā</w:t>
      </w:r>
      <w:r>
        <w:rPr>
          <w:rStyle w:val="ColorGray"/>
          <w:i/>
          <w:iCs/>
        </w:rPr>
        <w:t xml:space="preserve">⟨19⟩</w:t>
      </w:r>
      <w:r>
        <w:rPr>
          <w:rStyle w:val="ColorGreen"/>
          <w:i/>
          <w:iCs/>
        </w:rPr>
        <w:t xml:space="preserve">sannidhi-ko</w:t>
      </w:r>
      <w:r>
        <w:rPr>
          <w:rStyle w:val="ColorGray"/>
          <w:i/>
          <w:iCs/>
        </w:rPr>
        <w:t xml:space="preserve">⟨20⟩</w:t>
      </w:r>
      <w:r>
        <w:rPr>
          <w:rStyle w:val="ColorGreen"/>
          <w:i/>
          <w:iCs/>
        </w:rPr>
        <w:t xml:space="preserve">rāvi</w:t>
      </w:r>
      <w:r>
        <w:t xml:space="preserve"> </w:t>
      </w:r>
      <w:r>
        <w:t xml:space="preserve">MDS • The initial</w:t>
      </w:r>
      <w:r>
        <w:t xml:space="preserve"> </w:t>
      </w:r>
      <w:r>
        <w:rPr>
          <w:i/>
          <w:iCs/>
        </w:rPr>
        <w:t xml:space="preserve">pa</w:t>
      </w:r>
      <w:r>
        <w:t xml:space="preserve"> </w:t>
      </w:r>
      <w:r>
        <w:t xml:space="preserve">might be read</w:t>
      </w:r>
      <w:r>
        <w:t xml:space="preserve"> </w:t>
      </w:r>
      <w:r>
        <w:rPr>
          <w:i/>
          <w:iCs/>
        </w:rPr>
        <w:t xml:space="preserve">ṣa</w:t>
      </w:r>
      <w:r>
        <w:t xml:space="preserve">, but this is likewise true of other</w:t>
      </w:r>
      <w:r>
        <w:t xml:space="preserve"> </w:t>
      </w:r>
      <w:r>
        <w:rPr>
          <w:i/>
          <w:iCs/>
        </w:rPr>
        <w:t xml:space="preserve">pa</w:t>
      </w:r>
      <w:r>
        <w:t xml:space="preserve">-s on the page. SS is probably correct in reading</w:t>
      </w:r>
      <w:r>
        <w:t xml:space="preserve"> </w:t>
      </w:r>
      <w:r>
        <w:rPr>
          <w:i/>
          <w:iCs/>
        </w:rPr>
        <w:t xml:space="preserve">kh</w:t>
      </w:r>
      <w:r>
        <w:t xml:space="preserve"> </w:t>
      </w:r>
      <w:r>
        <w:t xml:space="preserve">for the last consonant in line 19; a similar glyph for</w:t>
      </w:r>
      <w:r>
        <w:t xml:space="preserve"> </w:t>
      </w:r>
      <w:r>
        <w:rPr>
          <w:i/>
          <w:iCs/>
        </w:rPr>
        <w:t xml:space="preserve">kh</w:t>
      </w:r>
      <w:r>
        <w:t xml:space="preserve"> </w:t>
      </w:r>
      <w:r>
        <w:t xml:space="preserve">is attested in some early plates of the dynasty, but was here probably misinterpreted by the engraver as</w:t>
      </w:r>
      <w:r>
        <w:t xml:space="preserve"> </w:t>
      </w:r>
      <w:r>
        <w:rPr>
          <w:i/>
          <w:iCs/>
        </w:rPr>
        <w:t xml:space="preserve">g</w:t>
      </w:r>
      <w:r>
        <w:t xml:space="preserve"> </w:t>
      </w:r>
      <w:r>
        <w:t xml:space="preserve">with a subscript</w:t>
      </w:r>
      <w:r>
        <w:t xml:space="preserve"> </w:t>
      </w:r>
      <w:r>
        <w:rPr>
          <w:i/>
          <w:iCs/>
        </w:rPr>
        <w:t xml:space="preserve">v</w:t>
      </w:r>
      <w:r>
        <w:t xml:space="preserve"> </w:t>
      </w:r>
      <w:r>
        <w:t xml:space="preserve">or</w:t>
      </w:r>
      <w:r>
        <w:t xml:space="preserve"> </w:t>
      </w:r>
      <w:r>
        <w:rPr>
          <w:i/>
          <w:iCs/>
        </w:rPr>
        <w:t xml:space="preserve">dh</w:t>
      </w:r>
      <w:r>
        <w:t xml:space="preserve">.</w:t>
      </w:r>
    </w:p>
    <w:p>
      <w:pPr>
        <w:pStyle w:val="BodyText"/>
      </w:pPr>
      <w:r>
        <w:rPr>
          <w:rStyle w:val="ColorGray"/>
        </w:rPr>
        <w:t xml:space="preserve">⟨20⟩</w:t>
      </w:r>
      <w:r>
        <w:t xml:space="preserve"> </w:t>
      </w:r>
      <w:r>
        <w:t xml:space="preserve">(b)ādhā karttavyā⟨.⟩ yaẖ karoti sa pañcabhir mmahā-pātakai</w:t>
      </w:r>
      <w:r>
        <w:rPr>
          <w:rStyle w:val="ColorGray"/>
        </w:rPr>
        <w:t xml:space="preserve">⟨21⟩</w:t>
      </w:r>
      <w:r>
        <w:t xml:space="preserve">s saṁyu◯kto bhavati ⬦</w:t>
      </w:r>
      <w:r>
        <w:t xml:space="preserve"> </w:t>
      </w:r>
      <w:r>
        <w:rPr>
          <w:rStyle w:val="ColorGreen"/>
          <w:i/>
          <w:iCs/>
        </w:rPr>
        <w:t xml:space="preserve">bādhaḥ-karttavyāyaḥ-kāriti sa pañcabhir mmahā-pātakam</w:t>
      </w:r>
      <w:r>
        <w:rPr>
          <w:rStyle w:val="ColorGray"/>
          <w:i/>
          <w:iCs/>
        </w:rPr>
        <w:t xml:space="preserve">⟨21⟩</w:t>
      </w:r>
      <w:r>
        <w:rPr>
          <w:rStyle w:val="ColorGreen"/>
          <w:i/>
          <w:iCs/>
        </w:rPr>
        <w:t xml:space="preserve">s saṁyukto rbbavati</w:t>
      </w:r>
      <w:r>
        <w:t xml:space="preserve"> </w:t>
      </w:r>
      <w:r>
        <w:t xml:space="preserve">MDS.</w:t>
      </w:r>
    </w:p>
    <w:p>
      <w:pPr>
        <w:pStyle w:val="Heading1"/>
      </w:pPr>
      <w:r>
        <w:t xml:space="preserve">Translation</w:t>
      </w:r>
    </w:p>
    <w:p>
      <w:pPr>
        <w:pStyle w:val="FirstParagraph"/>
      </w:pPr>
      <w:r>
        <w:rPr>
          <w:rStyle w:val="ColorGray"/>
        </w:rPr>
        <w:t xml:space="preserve">⟨1–15⟩</w:t>
      </w:r>
      <w:r>
        <w:t xml:space="preserve"> </w:t>
      </w:r>
      <w:r>
        <w:t xml:space="preserve">Greetings. The grandson of His Majesty King (</w:t>
      </w:r>
      <w:r>
        <w:rPr>
          <w:i/>
          <w:iCs/>
        </w:rPr>
        <w:t xml:space="preserve">mahārāja</w:t>
      </w:r>
      <w:r>
        <w:t xml:space="preserve">) Viṣṇuvardhana</w:t>
      </w:r>
      <w:r>
        <w:rPr>
          <w:rStyle w:val="FootnoteReference"/>
        </w:rPr>
        <w:footnoteReference w:id="10"/>
      </w:r>
      <w:r>
        <w:t xml:space="preserve"> </w:t>
      </w:r>
      <w:r>
        <w:t xml:space="preserve">who acquired glory in diverse battles and who was eager to adorn the lineage of the majestic Calukyas—who are of the Mānavya</w:t>
      </w:r>
      <w:r>
        <w:t xml:space="preserve"> </w:t>
      </w:r>
      <w:r>
        <w:rPr>
          <w:i/>
          <w:iCs/>
        </w:rPr>
        <w:t xml:space="preserve">gotra</w:t>
      </w:r>
      <w:r>
        <w:t xml:space="preserve"> </w:t>
      </w:r>
      <w:r>
        <w:t xml:space="preserve">which is praised by the entire world, who are sons of Hāriti,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Vijayādi His Majesty Maṅgi Yuvarāja,</w:t>
      </w:r>
      <w:r>
        <w:rPr>
          <w:rStyle w:val="FootnoteReference"/>
        </w:rPr>
        <w:footnoteReference w:id="11"/>
      </w:r>
      <w:r>
        <w:t xml:space="preserve"> </w:t>
      </w:r>
      <w:r>
        <w:t xml:space="preserve">shelter of the entire universe (</w:t>
      </w:r>
      <w:r>
        <w:rPr>
          <w:i/>
          <w:iCs/>
        </w:rPr>
        <w:t xml:space="preserve">samasta-bhuvanāśraya</w:t>
      </w:r>
      <w:r>
        <w:t xml:space="preserve">), whose pair of feet are tinted by the hues of the rays from the many gems fitted to the surfaces of the crowns of enemy kings, whose body has been purified by the donation of gold weighed in many a balance scale:</w:t>
      </w:r>
      <w:r>
        <w:rPr>
          <w:rStyle w:val="FootnoteReference"/>
        </w:rPr>
        <w:footnoteReference w:id="12"/>
      </w:r>
      <w:r>
        <w:t xml:space="preserve"> </w:t>
      </w:r>
      <w:r>
        <w:t xml:space="preserve">⟨namely⟩ His Majesty the supremely pious Supreme Lord (</w:t>
      </w:r>
      <w:r>
        <w:rPr>
          <w:i/>
          <w:iCs/>
        </w:rPr>
        <w:t xml:space="preserve">parameśvara</w:t>
      </w:r>
      <w:r>
        <w:t xml:space="preserve">), the Emperor (</w:t>
      </w:r>
      <w:r>
        <w:rPr>
          <w:i/>
          <w:iCs/>
        </w:rPr>
        <w:t xml:space="preserve">mahārājādhirāja</w:t>
      </w:r>
      <w:r>
        <w:t xml:space="preserve">) and Sovereign (</w:t>
      </w:r>
      <w:r>
        <w:rPr>
          <w:i/>
          <w:iCs/>
        </w:rPr>
        <w:t xml:space="preserve">bhaṭṭāraka</w:t>
      </w:r>
      <w:r>
        <w:t xml:space="preserve">) Viṣṇuvardhana, shelter of the entire universe (</w:t>
      </w:r>
      <w:r>
        <w:rPr>
          <w:i/>
          <w:iCs/>
        </w:rPr>
        <w:t xml:space="preserve">samasta-bhuvanāśraya</w:t>
      </w:r>
      <w:r>
        <w:t xml:space="preserve">), who was deliberately appointed ⟨as heir⟩ by his mother and father, thoroughly surpassing the virtues of his father, endowed with power (</w:t>
      </w:r>
      <w:r>
        <w:rPr>
          <w:i/>
          <w:iCs/>
        </w:rPr>
        <w:t xml:space="preserve">śakti</w:t>
      </w:r>
      <w:r>
        <w:t xml:space="preserve">), bent on competently protecting his subjects, commands all householders (</w:t>
      </w:r>
      <w:r>
        <w:rPr>
          <w:i/>
          <w:iCs/>
        </w:rPr>
        <w:t xml:space="preserve">kuṭumbin</w:t>
      </w:r>
      <w:r>
        <w:t xml:space="preserve">)—including foremost the territorial overseers (</w:t>
      </w:r>
      <w:r>
        <w:rPr>
          <w:i/>
          <w:iCs/>
        </w:rPr>
        <w:t xml:space="preserve">rāṣṭrakūṭa</w:t>
      </w:r>
      <w:r>
        <w:t xml:space="preserve">)—who reside in the village named Ariyeṟu in Attili district (</w:t>
      </w:r>
      <w:r>
        <w:rPr>
          <w:i/>
          <w:iCs/>
        </w:rPr>
        <w:t xml:space="preserve">viṣaya</w:t>
      </w:r>
      <w:r>
        <w:t xml:space="preserve">) as follows.</w:t>
      </w:r>
    </w:p>
    <w:p>
      <w:pPr>
        <w:pStyle w:val="BodyText"/>
      </w:pPr>
      <w:r>
        <w:rPr>
          <w:rStyle w:val="ColorGray"/>
        </w:rPr>
        <w:t xml:space="preserve">⟨15–18⟩</w:t>
      </w:r>
      <w:r>
        <w:t xml:space="preserve"> </w:t>
      </w:r>
      <w:r>
        <w:t xml:space="preserve">Let it be known to you that to ¿S?ūriśarman, a resident of the Padminī brahmanical holding (</w:t>
      </w:r>
      <w:r>
        <w:rPr>
          <w:i/>
          <w:iCs/>
        </w:rPr>
        <w:t xml:space="preserve">agrahāra</w:t>
      </w:r>
      <w:r>
        <w:t xml:space="preserve">), belonging to the Pātañjala</w:t>
      </w:r>
      <w:r>
        <w:t xml:space="preserve"> </w:t>
      </w:r>
      <w:r>
        <w:rPr>
          <w:i/>
          <w:iCs/>
        </w:rPr>
        <w:t xml:space="preserve">gotra</w:t>
      </w:r>
      <w:r>
        <w:t xml:space="preserve">, who is learned in the entire Atharvaveda and familiar with the rituals (</w:t>
      </w:r>
      <w:r>
        <w:rPr>
          <w:i/>
          <w:iCs/>
        </w:rPr>
        <w:t xml:space="preserve">karma</w:t>
      </w:r>
      <w:r>
        <w:t xml:space="preserve">)</w:t>
      </w:r>
      <w:r>
        <w:t xml:space="preserve"> </w:t>
      </w:r>
      <w:r>
        <w:rPr>
          <w:i/>
          <w:iCs/>
        </w:rPr>
        <w:t xml:space="preserve">divya</w:t>
      </w:r>
      <w:r>
        <w:t xml:space="preserve"> </w:t>
      </w:r>
      <w:r>
        <w:t xml:space="preserve">and</w:t>
      </w:r>
      <w:r>
        <w:t xml:space="preserve"> </w:t>
      </w:r>
      <w:r>
        <w:rPr>
          <w:i/>
          <w:iCs/>
        </w:rPr>
        <w:t xml:space="preserve">sāmpada</w:t>
      </w:r>
      <w:r>
        <w:t xml:space="preserve"> </w:t>
      </w:r>
      <w:r>
        <w:t xml:space="preserve">and so forth,</w:t>
      </w:r>
      <w:r>
        <w:rPr>
          <w:rStyle w:val="FootnoteReference"/>
        </w:rPr>
        <w:footnoteReference w:id="13"/>
      </w:r>
      <w:r>
        <w:t xml:space="preserve"> </w:t>
      </w:r>
      <w:r>
        <w:t xml:space="preserve">the grandson of Sū¿r?iśarman and son of ¿Vi?nyiśarman, we have given on the occasion of an eclipse of the sun, ⟨the donation being⟩ sanctified by (a libation of) water and exempt from all taxes, a field of ⟨an extent of⟩ two</w:t>
      </w:r>
      <w:r>
        <w:t xml:space="preserve"> </w:t>
      </w:r>
      <w:r>
        <w:rPr>
          <w:i/>
          <w:iCs/>
        </w:rPr>
        <w:t xml:space="preserve">nivartana</w:t>
      </w:r>
      <w:r>
        <w:t xml:space="preserve">s, together with a homestead nearby.</w:t>
      </w:r>
    </w:p>
    <w:p>
      <w:pPr>
        <w:pStyle w:val="BodyText"/>
      </w:pPr>
      <w:r>
        <w:rPr>
          <w:rStyle w:val="ColorGray"/>
        </w:rPr>
        <w:t xml:space="preserve">⟨18–21⟩</w:t>
      </w:r>
      <w:r>
        <w:t xml:space="preserve"> </w:t>
      </w:r>
      <w:r>
        <w:t xml:space="preserve">The boundaries of this field ⟨are as follows⟩. To the east, ¿Tāmararvvā?. To the south, the field of Duttiśarman. To the west, the field of the village. To the north, ¿Pambikhorāvi?. Let no-one pose an obstacle (to the enjoyment of rights) over it. He who does so shall be conjoined with the five great sins. So Vyāsa has said:</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millennia.</w:t>
      </w:r>
    </w:p>
    <w:p>
      <w:pPr>
        <w:pStyle w:val="BodyText"/>
      </w:pPr>
      <w:r>
        <w:rPr>
          <w:rStyle w:val="ColorGray"/>
        </w:rPr>
        <w:t xml:space="preserve">⟨24⟩</w:t>
      </w:r>
      <w:r>
        <w:t xml:space="preserve"> </w:t>
      </w:r>
      <w:r>
        <w:t xml:space="preserve">The executor (</w:t>
      </w:r>
      <w:r>
        <w:rPr>
          <w:i/>
          <w:iCs/>
        </w:rPr>
        <w:t xml:space="preserve">ājñapti</w:t>
      </w:r>
      <w:r>
        <w:t xml:space="preserve">) of this this provision (</w:t>
      </w:r>
      <w:r>
        <w:rPr>
          <w:i/>
          <w:iCs/>
        </w:rPr>
        <w:t xml:space="preserve">dharma</w:t>
      </w:r>
      <w:r>
        <w:t xml:space="preserve">) is Nissaramiṇyi.</w:t>
      </w:r>
    </w:p>
    <w:p>
      <w:pPr>
        <w:pStyle w:val="Heading1"/>
      </w:pPr>
      <w:r>
        <w:t xml:space="preserve">Commentary</w:t>
      </w:r>
    </w:p>
    <w:p>
      <w:pPr>
        <w:pStyle w:val="FirstParagraph"/>
      </w:pPr>
      <w:r>
        <w:t xml:space="preserve">This charter could be called the Ariyeṟu grant, but in order to distinguish it more clearly from the</w:t>
      </w:r>
      <w:r>
        <w:t xml:space="preserve"> </w:t>
      </w:r>
      <w:hyperlink r:id="rId14">
        <w:r>
          <w:rPr>
            <w:rStyle w:val="Hyperlink"/>
          </w:rPr>
          <w:t xml:space="preserve">Ariyeṟa grant of Viṣṇuvardhana III</w:t>
        </w:r>
      </w:hyperlink>
      <w:r>
        <w:t xml:space="preserve">, I refer to it, along with earlier editors, as the Gaṇapavaram plates.</w:t>
      </w:r>
    </w:p>
    <w:p>
      <w:pPr>
        <w:pStyle w:val="BodyText"/>
      </w:pPr>
      <w:r>
        <w:t xml:space="preserve">Between the end of plate 2 recto and the beginning of plate 2 verso, the text changes abruptly. The scribal hand changes only a little (see the palaeographic description), but the number of lines per plate is five up to this point and seven after it, and the number of characters per line also increases by 25% or more. There is also a glitch in the text, with</w:t>
      </w:r>
      <w:r>
        <w:t xml:space="preserve"> </w:t>
      </w:r>
      <w:r>
        <w:rPr>
          <w:i/>
          <w:iCs/>
        </w:rPr>
        <w:t xml:space="preserve">samasta-bhuvanāśraya-śrī-vijayādi</w:t>
      </w:r>
      <w:r>
        <w:t xml:space="preserve"> </w:t>
      </w:r>
      <w:r>
        <w:t xml:space="preserve">unfinished, then followed by</w:t>
      </w:r>
      <w:r>
        <w:t xml:space="preserve"> </w:t>
      </w:r>
      <w:r>
        <w:rPr>
          <w:i/>
          <w:iCs/>
        </w:rPr>
        <w:t xml:space="preserve">śrī-maṁgi-yuvarājasya</w:t>
      </w:r>
      <w:r>
        <w:t xml:space="preserve">. Note that</w:t>
      </w:r>
      <w:r>
        <w:t xml:space="preserve"> </w:t>
      </w:r>
      <w:r>
        <w:rPr>
          <w:i/>
          <w:iCs/>
        </w:rPr>
        <w:t xml:space="preserve">śrī</w:t>
      </w:r>
      <w:r>
        <w:t xml:space="preserve"> </w:t>
      </w:r>
      <w:r>
        <w:t xml:space="preserve">is not normally used twice in a name, and that</w:t>
      </w:r>
      <w:r>
        <w:t xml:space="preserve"> </w:t>
      </w:r>
      <w:r>
        <w:rPr>
          <w:i/>
          <w:iCs/>
        </w:rPr>
        <w:t xml:space="preserve">samasta-bhuvanāśraya</w:t>
      </w:r>
      <w:r>
        <w:t xml:space="preserve"> </w:t>
      </w:r>
      <w:r>
        <w:t xml:space="preserve">first occurs for Vijayāditya I and is nowhere else employed as an epithet of Maṅgi Yuvarāja (who is</w:t>
      </w:r>
      <w:r>
        <w:t xml:space="preserve"> </w:t>
      </w:r>
      <w:r>
        <w:rPr>
          <w:i/>
          <w:iCs/>
        </w:rPr>
        <w:t xml:space="preserve">sarva-lokāśraya</w:t>
      </w:r>
      <w:r>
        <w:t xml:space="preserve">). It is likewise incompatible with Viṣṇuvardhana III (also</w:t>
      </w:r>
      <w:r>
        <w:t xml:space="preserve"> </w:t>
      </w:r>
      <w:r>
        <w:rPr>
          <w:i/>
          <w:iCs/>
        </w:rPr>
        <w:t xml:space="preserve">sarva-lokāśraya</w:t>
      </w:r>
      <w:r>
        <w:t xml:space="preserve">).</w:t>
      </w:r>
    </w:p>
    <w:p>
      <w:pPr>
        <w:pStyle w:val="BodyText"/>
      </w:pPr>
      <w:r>
        <w:t xml:space="preserve">The primary byname of Maṅgi Yuvarāja is</w:t>
      </w:r>
      <w:r>
        <w:t xml:space="preserve"> </w:t>
      </w:r>
      <w:r>
        <w:rPr>
          <w:i/>
          <w:iCs/>
        </w:rPr>
        <w:t xml:space="preserve">vijaya-siddhi</w:t>
      </w:r>
      <w:r>
        <w:rPr>
          <w:rStyle w:val="FootnoteReference"/>
        </w:rPr>
        <w:footnoteReference w:id="15"/>
      </w:r>
      <w:r>
        <w:t xml:space="preserve">, so the characters vijayādi may be a misinterpretation of vijaya-siddhi traced on the plate for the engraver to carve. If the tracing had been faint or smudged, then si may have been mistaken by the artisan for an ā mātrā attached to ya, and the subscript dh of the next character may have been overlooked. This hypothesis, however, does not explain the other striking anomalies in the text.</w:t>
      </w:r>
    </w:p>
    <w:p>
      <w:pPr>
        <w:pStyle w:val="BodyText"/>
      </w:pPr>
      <w:r>
        <w:t xml:space="preserve">The text up to the abrupt transition at the end of line 10 is literally identical to two grants (the</w:t>
      </w:r>
      <w:r>
        <w:t xml:space="preserve"> </w:t>
      </w:r>
      <w:hyperlink r:id="rId21">
        <w:r>
          <w:rPr>
            <w:rStyle w:val="Hyperlink"/>
          </w:rPr>
          <w:t xml:space="preserve">Permmañcili grant</w:t>
        </w:r>
      </w:hyperlink>
      <w:r>
        <w:t xml:space="preserve"> </w:t>
      </w:r>
      <w:r>
        <w:t xml:space="preserve">and the</w:t>
      </w:r>
      <w:r>
        <w:t xml:space="preserve"> </w:t>
      </w:r>
      <w:hyperlink r:id="rId22">
        <w:r>
          <w:rPr>
            <w:rStyle w:val="Hyperlink"/>
          </w:rPr>
          <w:t xml:space="preserve">Ḻūḷā grant</w:t>
        </w:r>
      </w:hyperlink>
      <w:r>
        <w:t xml:space="preserve">; in the former, the ends of the first five lines are lost but can be confidently restored on the basis of the latter) that can be attributed with confidence to Viṣṇuvardhana IV (with a very slight chance that they belong to Viṣṇuvardhana V). This section of texts includes phrases found nowhere else in the corpus, such as</w:t>
      </w:r>
      <w:r>
        <w:t xml:space="preserve"> </w:t>
      </w:r>
      <w:r>
        <w:rPr>
          <w:i/>
          <w:iCs/>
        </w:rPr>
        <w:t xml:space="preserve">aneka-tulā-dhr̥ta-kaḷadhauta-dāna-pūta-śarīraḥ</w:t>
      </w:r>
      <w:r>
        <w:t xml:space="preserve"> </w:t>
      </w:r>
      <w:r>
        <w:t xml:space="preserve">and</w:t>
      </w:r>
      <w:r>
        <w:t xml:space="preserve"> </w:t>
      </w:r>
      <w:r>
        <w:rPr>
          <w:i/>
          <w:iCs/>
        </w:rPr>
        <w:t xml:space="preserve">samatiśayita-pitr̥-guṇaḥ śakti-sampannaḥ samyak-prajā-pālana-paraḥ</w:t>
      </w:r>
      <w:r>
        <w:t xml:space="preserve"> </w:t>
      </w:r>
      <w:r>
        <w:t xml:space="preserve">(with</w:t>
      </w:r>
      <w:r>
        <w:t xml:space="preserve"> </w:t>
      </w:r>
      <w:r>
        <w:rPr>
          <w:i/>
          <w:iCs/>
        </w:rPr>
        <w:t xml:space="preserve">-paraḥ</w:t>
      </w:r>
      <w:r>
        <w:t xml:space="preserve"> </w:t>
      </w:r>
      <w:r>
        <w:t xml:space="preserve">missing, presumably by mistake, in the two cited grants). In the two grants cited, the text continues with</w:t>
      </w:r>
      <w:r>
        <w:t xml:space="preserve"> </w:t>
      </w:r>
      <w:r>
        <w:rPr>
          <w:i/>
          <w:iCs/>
        </w:rPr>
        <w:t xml:space="preserve">vijayāditya-mahārājasya priya-tanayaḥ</w:t>
      </w:r>
      <w:r>
        <w:t xml:space="preserve"> </w:t>
      </w:r>
      <w:r>
        <w:t xml:space="preserve">(corresponding to</w:t>
      </w:r>
      <w:r>
        <w:t xml:space="preserve"> </w:t>
      </w:r>
      <w:r>
        <w:rPr>
          <w:i/>
          <w:iCs/>
        </w:rPr>
        <w:t xml:space="preserve">vijayādi śrī-maṁgi-yuvarājasya putraḥ</w:t>
      </w:r>
      <w:r>
        <w:t xml:space="preserve"> </w:t>
      </w:r>
      <w:r>
        <w:t xml:space="preserve">in the present grant), and is then again identical up to the name of the district, except for the anomalous</w:t>
      </w:r>
      <w:r>
        <w:t xml:space="preserve"> </w:t>
      </w:r>
      <w:r>
        <w:rPr>
          <w:i/>
          <w:iCs/>
        </w:rPr>
        <w:t xml:space="preserve">samasta-bhuvanāśraya-śrī-viṣṇuvarddhana</w:t>
      </w:r>
      <w:r>
        <w:t xml:space="preserve"> </w:t>
      </w:r>
      <w:r>
        <w:t xml:space="preserve">of the present grant, for which the other two have the expected</w:t>
      </w:r>
      <w:r>
        <w:t xml:space="preserve"> </w:t>
      </w:r>
      <w:r>
        <w:rPr>
          <w:i/>
          <w:iCs/>
        </w:rPr>
        <w:t xml:space="preserve">sarvva-lokāśraya-śrī-viṣnuvarddhana</w:t>
      </w:r>
      <w:r>
        <w:t xml:space="preserve">.</w:t>
      </w:r>
    </w:p>
    <w:p>
      <w:pPr>
        <w:pStyle w:val="BodyText"/>
      </w:pPr>
      <w:r>
        <w:t xml:space="preserve">The royal style</w:t>
      </w:r>
      <w:r>
        <w:t xml:space="preserve"> </w:t>
      </w:r>
      <w:r>
        <w:rPr>
          <w:i/>
          <w:iCs/>
        </w:rPr>
        <w:t xml:space="preserve">mahārājādhirāja-parameśvara-bhaṭṭāraka</w:t>
      </w:r>
      <w:r>
        <w:t xml:space="preserve"> </w:t>
      </w:r>
      <w:r>
        <w:t xml:space="preserve">is never used in the corpus before Vijayāditya I. The phrase</w:t>
      </w:r>
      <w:r>
        <w:t xml:space="preserve"> </w:t>
      </w:r>
      <w:r>
        <w:rPr>
          <w:i/>
          <w:iCs/>
        </w:rPr>
        <w:t xml:space="preserve">ājñaptir asya dharmasya</w:t>
      </w:r>
      <w:r>
        <w:t xml:space="preserve"> </w:t>
      </w:r>
      <w:r>
        <w:t xml:space="preserve">(an</w:t>
      </w:r>
      <w:r>
        <w:t xml:space="preserve"> </w:t>
      </w:r>
      <w:r>
        <w:rPr>
          <w:i/>
          <w:iCs/>
        </w:rPr>
        <w:t xml:space="preserve">anuṣṭubh</w:t>
      </w:r>
      <w:r>
        <w:t xml:space="preserve"> </w:t>
      </w:r>
      <w:r>
        <w:t xml:space="preserve">quarter) is common in the grants of Vijayāditya I and recurs in some of his successors’ charters (including the two grants of Viṣṇuvardhana IV noted for their similarity to the present grant), but is not reliably attested before his time.</w:t>
      </w:r>
      <w:r>
        <w:rPr>
          <w:rStyle w:val="FootnoteReference"/>
        </w:rPr>
        <w:footnoteReference w:id="23"/>
      </w:r>
      <w:r>
        <w:t xml:space="preserve"> </w:t>
      </w:r>
      <w:r>
        <w:t xml:space="preserve">The name of the executor Nissaramiṇyi, however, is attested (with variations and/or illegible details) in grants by Maṅgi Yuvarāja</w:t>
      </w:r>
      <w:r>
        <w:rPr>
          <w:rStyle w:val="FootnoteReference"/>
        </w:rPr>
        <w:footnoteReference w:id="26"/>
      </w:r>
      <w:r>
        <w:t xml:space="preserve"> </w:t>
      </w:r>
      <w:r>
        <w:t xml:space="preserve">and Jayasiṁha II,</w:t>
      </w:r>
      <w:r>
        <w:rPr>
          <w:rStyle w:val="FootnoteReference"/>
        </w:rPr>
        <w:footnoteReference w:id="27"/>
      </w:r>
      <w:r>
        <w:t xml:space="preserve"> </w:t>
      </w:r>
      <w:r>
        <w:t xml:space="preserve">so he may have been active in the early part of Viṣṇuvardhana III’s reign, but certainly not under any later king.</w:t>
      </w:r>
    </w:p>
    <w:p>
      <w:pPr>
        <w:pStyle w:val="BodyText"/>
      </w:pPr>
      <w:r>
        <w:t xml:space="preserve">These discrepancies, coupled with the absence of a seal and my observation that the first two seem to be slightly hourglass-shaped, while the third is rather rectangular (although whether they are truly different is difficult to assess from the estampages), imply that the charter is in some way spurious. Up to line 10, our inscription is probably a genuine charter of Viṣṇuvardhana IV that had been left unfinished, or was copied verbatim from such a charter. The rest of the text appears to have been clumsily edited to give it a semblance of earliness, substituting the name of Maṅgi Yuvarāja into the introduction of Vijayāditya I, using the wrong cognomen for the issuer, and substituting the probably misspelled name of a long-ago courtier into a modern phrase introducing the executor. The contents of the executive section may be fraudulent, but they may also represent a legitimate (though careless) reissue of an older grant. The similarity of the writing in the two sections suggests that the second part was written not long after the first, probably in the same workshop, and possibly by the same scribe.</w:t>
      </w:r>
    </w:p>
    <w:p>
      <w:pPr>
        <w:pStyle w:val="Heading1"/>
      </w:pPr>
      <w:r>
        <w:t xml:space="preserve">Bibliography</w:t>
      </w:r>
    </w:p>
    <w:p>
      <w:pPr>
        <w:pStyle w:val="FirstParagraph"/>
      </w:pPr>
      <w:r>
        <w:t xml:space="preserve">Reported in ARIE 1924–25, p. 7, appendix A/1924-25, № 3.</w:t>
      </w:r>
      <w:r>
        <w:rPr>
          <w:rStyle w:val="FootnoteReference"/>
        </w:rPr>
        <w:footnoteReference w:id="29"/>
      </w:r>
      <w:r>
        <w:t xml:space="preserve"> </w:t>
      </w:r>
      <w:r>
        <w:t xml:space="preserve">Published in Telugu by Mallampalli Somasekhara Sarma (1924) with facsimiles. Edited in English by M. D. Sampath (2016, № 2) without facsimiles and without translation. The present edition by Dániel Balogh is based on estampages preserved at the ASI, Mysore, collated with Sampath’s edition.</w:t>
      </w:r>
      <w:r>
        <w:rPr>
          <w:rStyle w:val="FootnoteReference"/>
        </w:rPr>
        <w:footnoteReference w:id="30"/>
      </w:r>
      <w:r>
        <w:t xml:space="preserve"> </w:t>
      </w:r>
      <w:r>
        <w:t xml:space="preserve">Readings by Somasekhara Sarma are only shown for problematic loci. Metadata associated with this edition have been published separately in Balogh 2026, available on</w:t>
      </w:r>
      <w:r>
        <w:t xml:space="preserve"> </w:t>
      </w:r>
      <w:hyperlink r:id="rId31">
        <w:r>
          <w:rPr>
            <w:rStyle w:val="Hyperlink"/>
          </w:rPr>
          <w:t xml:space="preserve">Zenodo</w:t>
        </w:r>
      </w:hyperlink>
      <w:r>
        <w:t xml:space="preserve">.</w:t>
      </w:r>
    </w:p>
    <w:p>
      <w:pPr>
        <w:pStyle w:val="Heading2"/>
      </w:pPr>
      <w:r>
        <w:t xml:space="preserve">Primary</w:t>
      </w:r>
    </w:p>
    <w:p>
      <w:pPr>
        <w:pStyle w:val="FirstParagraph"/>
      </w:pPr>
      <w:r>
        <w:rPr>
          <w:b/>
          <w:bCs/>
        </w:rPr>
        <w:t xml:space="preserve">[SS]</w:t>
      </w:r>
      <w:r>
        <w:t xml:space="preserve"> </w:t>
      </w:r>
      <w:r>
        <w:t xml:space="preserve">Somasekhara Sarma, Mallampalli. 1924. “మూఁడవ విష్ణువర్ధనుని గణపవరము తామ్రశాసనము (Mūm̐ḍava Viṣṇuvardhanuni Gaṇapavaramu tāmraśāsanamu).”</w:t>
      </w:r>
      <w:r>
        <w:t xml:space="preserve"> </w:t>
      </w:r>
      <w:r>
        <w:rPr>
          <w:i/>
          <w:iCs/>
        </w:rPr>
        <w:t xml:space="preserve">Bhārati</w:t>
      </w:r>
      <w:r>
        <w:t xml:space="preserve"> </w:t>
      </w:r>
      <w:r>
        <w:t xml:space="preserve">1 (12), pp. 86–96.</w:t>
      </w:r>
    </w:p>
    <w:p>
      <w:pPr>
        <w:pStyle w:val="BodyText"/>
      </w:pPr>
      <w:r>
        <w:rPr>
          <w:b/>
          <w:bCs/>
        </w:rPr>
        <w:t xml:space="preserve">[MDS]</w:t>
      </w:r>
      <w:r>
        <w:t xml:space="preserve"> </w:t>
      </w:r>
      <w:r>
        <w:t xml:space="preserve">Sampath, M. D. 2016. “Pamiḍimukkala grant of Vishṇuvardhana (Praḷayāditya) and Gaṇapavaram plates of Vishṇuvardhana III.” JESI 41, pp. 75–78. Item 2.</w:t>
      </w:r>
    </w:p>
    <w:p>
      <w:pPr>
        <w:pStyle w:val="Heading2"/>
      </w:pPr>
      <w:r>
        <w:t xml:space="preserve">Secondary</w:t>
      </w:r>
    </w:p>
    <w:p>
      <w:pPr>
        <w:pStyle w:val="FirstParagraph"/>
      </w:pPr>
      <w:r>
        <w:t xml:space="preserve">ARIE 1924–25.</w:t>
      </w:r>
      <w:r>
        <w:t xml:space="preserve"> </w:t>
      </w:r>
      <w:r>
        <w:rPr>
          <w:i/>
          <w:iCs/>
        </w:rPr>
        <w:t xml:space="preserve">Annual report on South-Indian epigraphy for the year ending 31st March 1925</w:t>
      </w:r>
      <w:r>
        <w:t xml:space="preserve">. Edited by G. Venkoba Rao. Calcutta: Government Press, 1926. Page 7, appendixes A/1924-25, item 3.</w:t>
      </w:r>
    </w:p>
    <w:p>
      <w:pPr>
        <w:pStyle w:val="BodyText"/>
      </w:pPr>
      <w:r>
        <w:t xml:space="preserve">Balogh, Dániel. 2026. “Metadata for the DHARMA editions of Veṅgī Cālukya copper plates.” Zenodo. DOI:</w:t>
      </w:r>
      <w:r>
        <w:t xml:space="preserve"> </w:t>
      </w:r>
      <w:hyperlink r:id="rId32">
        <w:r>
          <w:rPr>
            <w:rStyle w:val="Hyperlink"/>
          </w:rPr>
          <w:t xml:space="preserve">10.5281/zenodo.22827003</w:t>
        </w:r>
      </w:hyperlink>
      <w:r>
        <w:t xml:space="preserve">.</w:t>
      </w:r>
      <w:r>
        <w:t xml:space="preserve"> </w:t>
      </w:r>
      <w:hyperlink r:id="rId31">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The subsequent reference to Maṅgi Yuvarāja suggests that this sould be Viṣṇuvardhana II, but see the commentary for the problems with the genealogy in this charter.</w:t>
      </w:r>
    </w:p>
  </w:footnote>
  <w:footnote w:id="11">
    <w:p>
      <w:pPr>
        <w:pStyle w:val="FootnoteText"/>
      </w:pPr>
      <w:r>
        <w:rPr>
          <w:rStyle w:val="FootnoteReference"/>
        </w:rPr>
        <w:footnoteRef/>
      </w:r>
      <w:r>
        <w:t xml:space="preserve"> </w:t>
      </w:r>
      <w:r>
        <w:t xml:space="preserve">See the commentary on this anomalous name.</w:t>
      </w:r>
    </w:p>
  </w:footnote>
  <w:footnote w:id="12">
    <w:p>
      <w:pPr>
        <w:pStyle w:val="FootnoteText"/>
      </w:pPr>
      <w:r>
        <w:rPr>
          <w:rStyle w:val="FootnoteReference"/>
        </w:rPr>
        <w:footnoteRef/>
      </w:r>
      <w:r>
        <w:t xml:space="preserve"> </w:t>
      </w:r>
      <w:r>
        <w:t xml:space="preserve">That is, gold weighed on a scale against his body, the</w:t>
      </w:r>
      <w:r>
        <w:t xml:space="preserve"> </w:t>
      </w:r>
      <w:r>
        <w:rPr>
          <w:i/>
          <w:iCs/>
        </w:rPr>
        <w:t xml:space="preserve">tulāpuruṣa mahādāna</w:t>
      </w:r>
      <w:r>
        <w:t xml:space="preserve">.</w:t>
      </w:r>
    </w:p>
  </w:footnote>
  <w:footnote w:id="13">
    <w:p>
      <w:pPr>
        <w:pStyle w:val="FootnoteText"/>
      </w:pPr>
      <w:r>
        <w:rPr>
          <w:rStyle w:val="FootnoteReference"/>
        </w:rPr>
        <w:footnoteRef/>
      </w:r>
      <w:r>
        <w:t xml:space="preserve"> </w:t>
      </w:r>
      <w:r>
        <w:t xml:space="preserve">I am unable to identify these rituals. It is also possible that “divine and efficacious rituals” were intended; see the apparatus to line 17.</w:t>
      </w:r>
    </w:p>
  </w:footnote>
  <w:footnote w:id="15">
    <w:p>
      <w:pPr>
        <w:pStyle w:val="FootnoteText"/>
      </w:pPr>
      <w:r>
        <w:rPr>
          <w:rStyle w:val="FootnoteReference"/>
        </w:rPr>
        <w:footnoteRef/>
      </w:r>
      <w:r>
        <w:t xml:space="preserve"> </w:t>
      </w:r>
      <w:r>
        <w:t xml:space="preserve">in the text of four of the five known complete charters attributable to him with certainty (</w:t>
      </w:r>
      <w:hyperlink r:id="rId16">
        <w:r>
          <w:rPr>
            <w:rStyle w:val="Hyperlink"/>
          </w:rPr>
          <w:t xml:space="preserve">Nutulapaṟu grant</w:t>
        </w:r>
      </w:hyperlink>
      <w:r>
        <w:t xml:space="preserve">,</w:t>
      </w:r>
      <w:r>
        <w:t xml:space="preserve"> </w:t>
      </w:r>
      <w:hyperlink r:id="rId17">
        <w:r>
          <w:rPr>
            <w:rStyle w:val="Hyperlink"/>
          </w:rPr>
          <w:t xml:space="preserve">London plates</w:t>
        </w:r>
      </w:hyperlink>
      <w:r>
        <w:t xml:space="preserve">,</w:t>
      </w:r>
      <w:r>
        <w:t xml:space="preserve"> </w:t>
      </w:r>
      <w:hyperlink r:id="rId18">
        <w:r>
          <w:rPr>
            <w:rStyle w:val="Hyperlink"/>
          </w:rPr>
          <w:t xml:space="preserve">Cendalūr plates</w:t>
        </w:r>
      </w:hyperlink>
      <w:r>
        <w:t xml:space="preserve">,</w:t>
      </w:r>
      <w:r>
        <w:t xml:space="preserve"> </w:t>
      </w:r>
      <w:hyperlink r:id="rId19">
        <w:r>
          <w:rPr>
            <w:rStyle w:val="Hyperlink"/>
          </w:rPr>
          <w:t xml:space="preserve">Elūru grant</w:t>
        </w:r>
      </w:hyperlink>
      <w:r>
        <w:t xml:space="preserve">) and on the seal of all five (the fifth being the</w:t>
      </w:r>
      <w:r>
        <w:t xml:space="preserve"> </w:t>
      </w:r>
      <w:hyperlink r:id="rId20">
        <w:r>
          <w:rPr>
            <w:rStyle w:val="Hyperlink"/>
          </w:rPr>
          <w:t xml:space="preserve">Peñceṟekuru grant</w:t>
        </w:r>
      </w:hyperlink>
      <w:r>
        <w:t xml:space="preserve">), as well as in numerous grants of his successors</w:t>
      </w:r>
    </w:p>
  </w:footnote>
  <w:footnote w:id="23">
    <w:p>
      <w:pPr>
        <w:pStyle w:val="FootnoteText"/>
      </w:pPr>
      <w:r>
        <w:rPr>
          <w:rStyle w:val="FootnoteReference"/>
        </w:rPr>
        <w:footnoteRef/>
      </w:r>
      <w:r>
        <w:t xml:space="preserve"> </w:t>
      </w:r>
      <w:r>
        <w:t xml:space="preserve">The phrase occurs in the probably spurious</w:t>
      </w:r>
      <w:r>
        <w:t xml:space="preserve"> </w:t>
      </w:r>
      <w:hyperlink r:id="rId24">
        <w:r>
          <w:rPr>
            <w:rStyle w:val="Hyperlink"/>
          </w:rPr>
          <w:t xml:space="preserve">Pamiḍimukkala plates (set 1) of Viṣṇuvardhana II, year 3</w:t>
        </w:r>
      </w:hyperlink>
      <w:r>
        <w:t xml:space="preserve"> </w:t>
      </w:r>
      <w:r>
        <w:t xml:space="preserve">and the possibly spurious</w:t>
      </w:r>
      <w:r>
        <w:t xml:space="preserve"> </w:t>
      </w:r>
      <w:hyperlink r:id="rId25">
        <w:r>
          <w:rPr>
            <w:rStyle w:val="Hyperlink"/>
          </w:rPr>
          <w:t xml:space="preserve">Pasapubaṟṟu grant of Viṣṇuvardhana III</w:t>
        </w:r>
      </w:hyperlink>
      <w:r>
        <w:t xml:space="preserve"> </w:t>
      </w:r>
      <w:r>
        <w:t xml:space="preserve">.</w:t>
      </w:r>
    </w:p>
  </w:footnote>
  <w:footnote w:id="26">
    <w:p>
      <w:pPr>
        <w:pStyle w:val="FootnoteText"/>
      </w:pPr>
      <w:r>
        <w:rPr>
          <w:rStyle w:val="FootnoteReference"/>
        </w:rPr>
        <w:footnoteRef/>
      </w:r>
      <w:r>
        <w:t xml:space="preserve"> </w:t>
      </w:r>
      <w:r>
        <w:t xml:space="preserve">The</w:t>
      </w:r>
      <w:r>
        <w:t xml:space="preserve"> </w:t>
      </w:r>
      <w:hyperlink r:id="rId16">
        <w:r>
          <w:rPr>
            <w:rStyle w:val="Hyperlink"/>
          </w:rPr>
          <w:t xml:space="preserve">Nutulapaṟu grant</w:t>
        </w:r>
      </w:hyperlink>
      <w:r>
        <w:t xml:space="preserve">, where Fleet reads</w:t>
      </w:r>
      <w:r>
        <w:t xml:space="preserve"> </w:t>
      </w:r>
      <w:r>
        <w:rPr>
          <w:i/>
          <w:iCs/>
        </w:rPr>
        <w:t xml:space="preserve">nissarami(ji?)</w:t>
      </w:r>
      <w:r>
        <w:t xml:space="preserve"> </w:t>
      </w:r>
      <w:r>
        <w:t xml:space="preserve">(no visual documentation available) and the</w:t>
      </w:r>
      <w:r>
        <w:t xml:space="preserve"> </w:t>
      </w:r>
      <w:hyperlink r:id="rId17">
        <w:r>
          <w:rPr>
            <w:rStyle w:val="Hyperlink"/>
          </w:rPr>
          <w:t xml:space="preserve">London plates</w:t>
        </w:r>
      </w:hyperlink>
      <w:r>
        <w:t xml:space="preserve"> </w:t>
      </w:r>
      <w:r>
        <w:t xml:space="preserve">where the reading is fairly certainly</w:t>
      </w:r>
      <w:r>
        <w:t xml:space="preserve"> </w:t>
      </w:r>
      <w:r>
        <w:rPr>
          <w:i/>
          <w:iCs/>
        </w:rPr>
        <w:t xml:space="preserve">nissāramiṇḍi</w:t>
      </w:r>
    </w:p>
  </w:footnote>
  <w:footnote w:id="27">
    <w:p>
      <w:pPr>
        <w:pStyle w:val="FootnoteText"/>
      </w:pPr>
      <w:r>
        <w:rPr>
          <w:rStyle w:val="FootnoteReference"/>
        </w:rPr>
        <w:footnoteRef/>
      </w:r>
      <w:r>
        <w:t xml:space="preserve"> </w:t>
      </w:r>
      <w:r>
        <w:t xml:space="preserve">The</w:t>
      </w:r>
      <w:r>
        <w:t xml:space="preserve"> </w:t>
      </w:r>
      <w:hyperlink r:id="rId28">
        <w:r>
          <w:rPr>
            <w:rStyle w:val="Hyperlink"/>
          </w:rPr>
          <w:t xml:space="preserve">Cendaṟa grant</w:t>
        </w:r>
      </w:hyperlink>
      <w:r>
        <w:t xml:space="preserve">, where Ramesan reads</w:t>
      </w:r>
      <w:r>
        <w:t xml:space="preserve"> </w:t>
      </w:r>
      <w:r>
        <w:rPr>
          <w:i/>
          <w:iCs/>
        </w:rPr>
        <w:t xml:space="preserve">vissarami[2+]</w:t>
      </w:r>
      <w:r>
        <w:t xml:space="preserve"> </w:t>
      </w:r>
      <w:r>
        <w:t xml:space="preserve">but the correct reading is more likely</w:t>
      </w:r>
      <w:r>
        <w:t xml:space="preserve"> </w:t>
      </w:r>
      <w:r>
        <w:rPr>
          <w:i/>
          <w:iCs/>
        </w:rPr>
        <w:t xml:space="preserve">nissarami</w:t>
      </w:r>
      <w:r>
        <w:t xml:space="preserve"> </w:t>
      </w:r>
      <w:r>
        <w:t xml:space="preserve">followed by a single character which is very probably</w:t>
      </w:r>
      <w:r>
        <w:t xml:space="preserve"> </w:t>
      </w:r>
      <w:r>
        <w:rPr>
          <w:i/>
          <w:iCs/>
        </w:rPr>
        <w:t xml:space="preserve">ṇi</w:t>
      </w:r>
      <w:r>
        <w:t xml:space="preserve"> </w:t>
      </w:r>
      <w:r>
        <w:t xml:space="preserve">with a lost subscript component</w:t>
      </w:r>
    </w:p>
  </w:footnote>
  <w:footnote w:id="29">
    <w:p>
      <w:pPr>
        <w:pStyle w:val="FootnoteText"/>
      </w:pPr>
      <w:r>
        <w:rPr>
          <w:rStyle w:val="FootnoteReference"/>
        </w:rPr>
        <w:footnoteRef/>
      </w:r>
      <w:r>
        <w:t xml:space="preserve"> </w:t>
      </w:r>
      <w:r>
        <w:t xml:space="preserve">This is not the</w:t>
      </w:r>
      <w:r>
        <w:t xml:space="preserve"> </w:t>
      </w:r>
      <w:hyperlink r:id="rId14">
        <w:r>
          <w:rPr>
            <w:rStyle w:val="Hyperlink"/>
          </w:rPr>
          <w:t xml:space="preserve">Ariyēṟa grant of Viṣṇuvardhana III</w:t>
        </w:r>
      </w:hyperlink>
      <w:r>
        <w:t xml:space="preserve"> </w:t>
      </w:r>
      <w:r>
        <w:t xml:space="preserve">which has not been reported in ARIE.</w:t>
      </w:r>
    </w:p>
  </w:footnote>
  <w:footnote w:id="30">
    <w:p>
      <w:pPr>
        <w:pStyle w:val="FootnoteText"/>
      </w:pPr>
      <w:r>
        <w:rPr>
          <w:rStyle w:val="FootnoteReference"/>
        </w:rPr>
        <w:footnoteRef/>
      </w:r>
      <w:r>
        <w:t xml:space="preserve"> </w:t>
      </w:r>
      <w:r>
        <w:t xml:space="preserve">Sampath’s edition has numerous (presumed) typos and minor errors, which are not shown in the apparatus here. Where I do show his readings, I arbitrarily interpret his inconsistent bracket-based markup as he presumably intended.</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6" Target="https://dharmalekha.info/texts/INSVengiCalukya00014" TargetMode="External" /><Relationship Type="http://schemas.openxmlformats.org/officeDocument/2006/relationships/hyperlink" Id="rId17" Target="https://dharmalekha.info/texts/INSVengiCalukya00048" TargetMode="External" /><Relationship Type="http://schemas.openxmlformats.org/officeDocument/2006/relationships/hyperlink" Id="rId18" Target="https://dharmalekha.info/texts/INSVengiCalukya00050" TargetMode="External" /><Relationship Type="http://schemas.openxmlformats.org/officeDocument/2006/relationships/hyperlink" Id="rId28" Target="https://dharmalekha.info/texts/INSVengiCalukya00060" TargetMode="External" /><Relationship Type="http://schemas.openxmlformats.org/officeDocument/2006/relationships/hyperlink" Id="rId19" Target="https://dharmalekha.info/texts/INSVengiCalukya00072" TargetMode="External" /><Relationship Type="http://schemas.openxmlformats.org/officeDocument/2006/relationships/hyperlink" Id="rId21" Target="https://dharmalekha.info/texts/INSVengiCalukya00084" TargetMode="External" /><Relationship Type="http://schemas.openxmlformats.org/officeDocument/2006/relationships/hyperlink" Id="rId22" Target="https://dharmalekha.info/texts/INSVengiCalukya00085" TargetMode="External" /><Relationship Type="http://schemas.openxmlformats.org/officeDocument/2006/relationships/hyperlink" Id="rId24" Target="https://dharmalekha.info/texts/INSVengiCalukya00088" TargetMode="External" /><Relationship Type="http://schemas.openxmlformats.org/officeDocument/2006/relationships/hyperlink" Id="rId20" Target="https://dharmalekha.info/texts/INSVengiCalukya00090" TargetMode="External" /><Relationship Type="http://schemas.openxmlformats.org/officeDocument/2006/relationships/hyperlink" Id="rId25" Target="https://dharmalekha.info/texts/INSVengiCalukya00092" TargetMode="External" /><Relationship Type="http://schemas.openxmlformats.org/officeDocument/2006/relationships/hyperlink" Id="rId14" Target="https://dharmalekha.info/texts/INSVengiCalukya00093" TargetMode="External" /><Relationship Type="http://schemas.openxmlformats.org/officeDocument/2006/relationships/hyperlink" Id="rId32" Target="https://doi.org/10.5281/zenodo.22827003" TargetMode="External" /><Relationship Type="http://schemas.openxmlformats.org/officeDocument/2006/relationships/hyperlink" Id="rId31"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6" Target="https://dharmalekha.info/texts/INSVengiCalukya00014" TargetMode="External" /><Relationship Type="http://schemas.openxmlformats.org/officeDocument/2006/relationships/hyperlink" Id="rId17" Target="https://dharmalekha.info/texts/INSVengiCalukya00048" TargetMode="External" /><Relationship Type="http://schemas.openxmlformats.org/officeDocument/2006/relationships/hyperlink" Id="rId18" Target="https://dharmalekha.info/texts/INSVengiCalukya00050" TargetMode="External" /><Relationship Type="http://schemas.openxmlformats.org/officeDocument/2006/relationships/hyperlink" Id="rId28" Target="https://dharmalekha.info/texts/INSVengiCalukya00060" TargetMode="External" /><Relationship Type="http://schemas.openxmlformats.org/officeDocument/2006/relationships/hyperlink" Id="rId19" Target="https://dharmalekha.info/texts/INSVengiCalukya00072" TargetMode="External" /><Relationship Type="http://schemas.openxmlformats.org/officeDocument/2006/relationships/hyperlink" Id="rId21" Target="https://dharmalekha.info/texts/INSVengiCalukya00084" TargetMode="External" /><Relationship Type="http://schemas.openxmlformats.org/officeDocument/2006/relationships/hyperlink" Id="rId22" Target="https://dharmalekha.info/texts/INSVengiCalukya00085" TargetMode="External" /><Relationship Type="http://schemas.openxmlformats.org/officeDocument/2006/relationships/hyperlink" Id="rId24" Target="https://dharmalekha.info/texts/INSVengiCalukya00088" TargetMode="External" /><Relationship Type="http://schemas.openxmlformats.org/officeDocument/2006/relationships/hyperlink" Id="rId20" Target="https://dharmalekha.info/texts/INSVengiCalukya00090" TargetMode="External" /><Relationship Type="http://schemas.openxmlformats.org/officeDocument/2006/relationships/hyperlink" Id="rId25" Target="https://dharmalekha.info/texts/INSVengiCalukya00092" TargetMode="External" /><Relationship Type="http://schemas.openxmlformats.org/officeDocument/2006/relationships/hyperlink" Id="rId14" Target="https://dharmalekha.info/texts/INSVengiCalukya00093" TargetMode="External" /><Relationship Type="http://schemas.openxmlformats.org/officeDocument/2006/relationships/hyperlink" Id="rId32" Target="https://doi.org/10.5281/zenodo.22827003" TargetMode="External" /><Relationship Type="http://schemas.openxmlformats.org/officeDocument/2006/relationships/hyperlink" Id="rId31"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Gaṇapavaram plates attributed to Viṣṇuvardhana III</dc:title>
  <dc:creator>Dániel Balogh</dc:creator>
  <cp:keywords/>
  <dcterms:created xsi:type="dcterms:W3CDTF">2026-10-26T19:53:30Z</dcterms:created>
  <dcterms:modified xsi:type="dcterms:W3CDTF">2026-10-26T19:53:30Z</dcterms:modified>
</cp:coreProperties>
</file>

<file path=docProps/custom.xml><?xml version="1.0" encoding="utf-8"?>
<Properties xmlns="http://schemas.openxmlformats.org/officeDocument/2006/custom-properties" xmlns:vt="http://schemas.openxmlformats.org/officeDocument/2006/docPropsVTypes"/>
</file>