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Ḻūḷā grant of Viṣṇuvardhana IV</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DHARMA_INSVengiCalukya00085</w:t>
      </w:r>
    </w:p>
    <w:p>
      <w:pPr>
        <w:pStyle w:val="BodyText"/>
      </w:pPr>
      <w:r>
        <w:t xml:space="preserve">Repository: Eastern Cālukya (tfb-vengicalukya-epigraphy)</w:t>
      </w:r>
    </w:p>
    <w:p>
      <w:pPr>
        <w:pStyle w:val="BodyText"/>
      </w:pPr>
      <w:r>
        <w:t xml:space="preserve">File path: xml/DHARMA_INSVengiCalukya00085.xml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M is a reduced and simplified ma, slightly lowered. Final N is a nearly full-size na without a headmark.</w:t>
      </w:r>
    </w:p>
    <w:p>
      <w:pPr>
        <w:pStyle w:val="BodyText"/>
      </w:pPr>
      <w:r>
        <w:t xml:space="preserve">There are no original punctuation marks.</w:t>
      </w:r>
    </w:p>
    <w:p>
      <w:pPr>
        <w:pStyle w:val="BodyText"/>
      </w:pPr>
      <w:r>
        <w:t xml:space="preserve">Other palaeographic observations. Upadhmānīya is used in l11 pālanaḫ parama. The character lo occurs both in a cursive (l12) and a regular (l24) form.</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w:t>
      </w:r>
      <w:r>
        <w:rPr>
          <w:rStyle w:val="ColorRed"/>
        </w:rPr>
        <w:t xml:space="preserve">¿u?</w:t>
      </w:r>
      <w:r>
        <w:rPr>
          <w:rStyle w:val="ColorGreen"/>
        </w:rPr>
        <w:t xml:space="preserve">⟨ū⟩</w:t>
      </w:r>
      <w:r>
        <w:t xml:space="preserve">yamāna-mānavya-sagotr</w:t>
      </w:r>
      <w:r>
        <w:rPr>
          <w:rStyle w:val="ColorRed"/>
        </w:rPr>
        <w:t xml:space="preserve">¿a?</w:t>
      </w:r>
      <w:r>
        <w:rPr>
          <w:rStyle w:val="ColorGreen"/>
        </w:rPr>
        <w:t xml:space="preserve">⟨ā⟩</w:t>
      </w:r>
      <w:r>
        <w:rPr>
          <w:rStyle w:val="ColorRed"/>
        </w:rPr>
        <w:t xml:space="preserve">¿n?</w:t>
      </w:r>
      <w:r>
        <w:rPr>
          <w:rStyle w:val="ColorGreen"/>
        </w:rPr>
        <w:t xml:space="preserve">⟨ṇ⟩</w:t>
      </w:r>
      <w:r>
        <w:t xml:space="preserve">ā⟨ṁ⟩</w:t>
      </w:r>
      <w:r>
        <w:rPr>
          <w:rStyle w:val="ColorGray"/>
        </w:rPr>
        <w:t xml:space="preserve"> </w:t>
      </w:r>
      <w:r>
        <w:rPr>
          <w:rStyle w:val="ColorGray"/>
        </w:rPr>
        <w:t xml:space="preserve">⟨2⟩</w:t>
      </w:r>
      <w:r>
        <w:rPr>
          <w:rStyle w:val="ColorGray"/>
        </w:rPr>
        <w:t xml:space="preserve"> </w:t>
      </w:r>
      <w:r>
        <w:t xml:space="preserve">hāritī-putrā⟨ṇāṁ⟩ kauś</w:t>
      </w:r>
      <w:r>
        <w:rPr>
          <w:rStyle w:val="ColorRed"/>
        </w:rPr>
        <w:t xml:space="preserve">¿i?</w:t>
      </w:r>
      <w:r>
        <w:rPr>
          <w:rStyle w:val="ColorGreen"/>
        </w:rPr>
        <w:t xml:space="preserve">⟨ī⟩</w:t>
      </w:r>
      <w:r>
        <w:t xml:space="preserve">kī-vara-prasāda-labdha-rājyānā(ṁ) māt</w:t>
      </w:r>
      <w:r>
        <w:rPr>
          <w:rStyle w:val="ColorMagenta"/>
        </w:rPr>
        <w:t xml:space="preserve">¡ri!</w:t>
      </w:r>
      <w:r>
        <w:rPr>
          <w:rStyle w:val="ColorBlue"/>
        </w:rPr>
        <w:t xml:space="preserve">⟨r̥⟩</w:t>
      </w:r>
      <w:r>
        <w:t xml:space="preserve">-gaṇa-pari</w:t>
      </w:r>
      <w:r>
        <w:rPr>
          <w:rStyle w:val="ColorGray"/>
        </w:rPr>
        <w:t xml:space="preserve">⟨3⟩</w:t>
      </w:r>
      <w:r>
        <w:t xml:space="preserve">pālitā◯nāṁ svāmi-mah</w:t>
      </w:r>
      <w:r>
        <w:rPr>
          <w:rStyle w:val="ColorRed"/>
        </w:rPr>
        <w:t xml:space="preserve">¿a?</w:t>
      </w:r>
      <w:r>
        <w:rPr>
          <w:rStyle w:val="ColorGreen"/>
        </w:rPr>
        <w:t xml:space="preserve">⟨ā⟩</w:t>
      </w:r>
      <w:r>
        <w:t xml:space="preserve">sena-pādānudhyātānāṁ bhagavan-nārā</w:t>
      </w:r>
      <w:r>
        <w:rPr>
          <w:rStyle w:val="ColorGray"/>
        </w:rPr>
        <w:t xml:space="preserve">⟨4⟩</w:t>
      </w:r>
      <w:r>
        <w:t xml:space="preserve">yaṇa◯-prasāda-sam</w:t>
      </w:r>
      <w:r>
        <w:rPr>
          <w:rStyle w:val="ColorRed"/>
        </w:rPr>
        <w:t xml:space="preserve">¿a?</w:t>
      </w:r>
      <w:r>
        <w:rPr>
          <w:rStyle w:val="ColorGreen"/>
        </w:rPr>
        <w:t xml:space="preserve">⟨ā⟩</w:t>
      </w:r>
      <w:r>
        <w:t xml:space="preserve">sādita-vara-varāh</w:t>
      </w:r>
      <w:r>
        <w:rPr>
          <w:rStyle w:val="ColorRed"/>
        </w:rPr>
        <w:t xml:space="preserve">¿ā?</w:t>
      </w:r>
      <w:r>
        <w:rPr>
          <w:rStyle w:val="ColorGreen"/>
        </w:rPr>
        <w:t xml:space="preserve">⟨a⟩</w:t>
      </w:r>
      <w:r>
        <w:t xml:space="preserve">-lāñchanekṣa</w:t>
      </w:r>
      <w:r>
        <w:rPr>
          <w:rStyle w:val="ColorRed"/>
        </w:rPr>
        <w:t xml:space="preserve">¿n?</w:t>
      </w:r>
      <w:r>
        <w:rPr>
          <w:rStyle w:val="ColorGreen"/>
        </w:rPr>
        <w:t xml:space="preserve">⟨ṇ⟩</w:t>
      </w:r>
      <w:r>
        <w:t xml:space="preserve">a-kṣa</w:t>
      </w:r>
      <w:r>
        <w:rPr>
          <w:rStyle w:val="ColorGray"/>
        </w:rPr>
        <w:t xml:space="preserve">⟨5⟩</w:t>
      </w:r>
      <w:r>
        <w:rPr>
          <w:rStyle w:val="ColorRed"/>
        </w:rPr>
        <w:t xml:space="preserve">¿n?</w:t>
      </w:r>
      <w:r>
        <w:rPr>
          <w:rStyle w:val="ColorGreen"/>
        </w:rPr>
        <w:t xml:space="preserve">⟨ṇ⟩</w:t>
      </w:r>
      <w:r>
        <w:t xml:space="preserve">a-vaśīkr̥tār</w:t>
      </w:r>
      <w:r>
        <w:rPr>
          <w:rStyle w:val="ColorRed"/>
        </w:rPr>
        <w:t xml:space="preserve">¿a?</w:t>
      </w:r>
      <w:r>
        <w:rPr>
          <w:rStyle w:val="ColorGreen"/>
        </w:rPr>
        <w:t xml:space="preserve">⟨ā⟩</w:t>
      </w:r>
      <w:r>
        <w:t xml:space="preserve">ti-maṇḍalānāṁ Aśvamedhāvabhr̥</w:t>
      </w:r>
      <w:r>
        <w:rPr>
          <w:rStyle w:val="ColorRed"/>
        </w:rPr>
        <w:t xml:space="preserve">¿t?</w:t>
      </w:r>
      <w:r>
        <w:rPr>
          <w:rStyle w:val="ColorGreen"/>
        </w:rPr>
        <w:t xml:space="preserve">⟨th⟩</w:t>
      </w:r>
      <w:r>
        <w:t xml:space="preserve">a-sn</w:t>
      </w:r>
      <w:r>
        <w:rPr>
          <w:rStyle w:val="ColorRed"/>
        </w:rPr>
        <w:t xml:space="preserve">¿a?</w:t>
      </w:r>
      <w:r>
        <w:rPr>
          <w:rStyle w:val="ColorGreen"/>
        </w:rPr>
        <w:t xml:space="preserve">⟨ā⟩</w:t>
      </w:r>
      <w:r>
        <w:t xml:space="preserve">na-pavitrīkr̥</w:t>
      </w:r>
      <w:r>
        <w:rPr>
          <w:rStyle w:val="ColorGray"/>
        </w:rPr>
        <w:t xml:space="preserve">⟨6⟩</w:t>
      </w:r>
      <w:r>
        <w:t xml:space="preserve">ta-vapuṣāṁ ca⟨lu⟩kyānāṁ kulam alaṁkariṣṇo⟨r⟩ vvividh</w:t>
      </w:r>
      <w:r>
        <w:rPr>
          <w:rStyle w:val="ColorRed"/>
        </w:rPr>
        <w:t xml:space="preserve">¿ā?</w:t>
      </w:r>
      <w:r>
        <w:rPr>
          <w:rStyle w:val="ColorGreen"/>
        </w:rPr>
        <w:t xml:space="preserve">⟨a⟩</w:t>
      </w:r>
      <w:r>
        <w:t xml:space="preserve">-yu{r}ddha-labdha-ya•</w:t>
      </w:r>
      <w:r>
        <w:rPr>
          <w:rStyle w:val="ColorGray"/>
        </w:rPr>
        <w:t xml:space="preserve">⟨7⟩</w:t>
      </w:r>
      <w:r>
        <w:t xml:space="preserve">śa⟨saḥ⟩ śrī-viṣṇuvarddhana-mahārājasya p</w:t>
      </w:r>
      <w:r>
        <w:rPr>
          <w:rStyle w:val="ColorRed"/>
        </w:rPr>
        <w:t xml:space="preserve">¿o?</w:t>
      </w:r>
      <w:r>
        <w:rPr>
          <w:rStyle w:val="ColorGreen"/>
        </w:rPr>
        <w:t xml:space="preserve">⟨au⟩</w:t>
      </w:r>
      <w:r>
        <w:t xml:space="preserve">tr</w:t>
      </w:r>
      <w:r>
        <w:rPr>
          <w:rStyle w:val="ColorRed"/>
        </w:rPr>
        <w:t xml:space="preserve">¿ā?</w:t>
      </w:r>
      <w:r>
        <w:rPr>
          <w:rStyle w:val="ColorGreen"/>
        </w:rPr>
        <w:t xml:space="preserve">⟨aḥ⟩</w:t>
      </w:r>
      <w:r>
        <w:t xml:space="preserve"> </w:t>
      </w:r>
      <w:r>
        <w:t xml:space="preserve">para-nr̥pati-makuṭa</w:t>
      </w:r>
      <w:r>
        <w:rPr>
          <w:rStyle w:val="ColorGray"/>
        </w:rPr>
        <w:t xml:space="preserve">⟨Page 2r⟩</w:t>
      </w:r>
      <w:r>
        <w:rPr>
          <w:rStyle w:val="ColorGray"/>
        </w:rPr>
        <w:t xml:space="preserve">⟨8⟩</w:t>
      </w:r>
      <w:r>
        <w:t xml:space="preserve">-taṭa-ghaṭitāneka-ma</w:t>
      </w:r>
      <w:r>
        <w:rPr>
          <w:rStyle w:val="ColorRed"/>
        </w:rPr>
        <w:t xml:space="preserve">¿n?</w:t>
      </w:r>
      <w:r>
        <w:rPr>
          <w:rStyle w:val="ColorGreen"/>
        </w:rPr>
        <w:t xml:space="preserve">⟨ṇ⟩</w:t>
      </w:r>
      <w:r>
        <w:t xml:space="preserve">i-kiraṇa-r(ā)ga-rañjita-caraṇa-yuga</w:t>
      </w:r>
      <w:r>
        <w:rPr>
          <w:rStyle w:val="ColorMagenta"/>
        </w:rPr>
        <w:t xml:space="preserve">¡ḷ!</w:t>
      </w:r>
      <w:r>
        <w:rPr>
          <w:rStyle w:val="ColorBlue"/>
        </w:rPr>
        <w:t xml:space="preserve">⟨l⟩</w:t>
      </w:r>
      <w:r>
        <w:t xml:space="preserve">a</w:t>
      </w:r>
      <w:r>
        <w:rPr>
          <w:rStyle w:val="ColorRed"/>
        </w:rPr>
        <w:t xml:space="preserve">¿ḥ?</w:t>
      </w:r>
      <w:r>
        <w:rPr>
          <w:rStyle w:val="ColorGreen"/>
        </w:rPr>
        <w:t xml:space="preserve">⟨sya⟩</w:t>
      </w:r>
      <w:r>
        <w:t xml:space="preserve"> </w:t>
      </w:r>
      <w:r>
        <w:t xml:space="preserve">A</w:t>
      </w:r>
      <w:r>
        <w:rPr>
          <w:rStyle w:val="ColorGray"/>
        </w:rPr>
        <w:t xml:space="preserve">⟨9⟩</w:t>
      </w:r>
      <w:r>
        <w:t xml:space="preserve">neka-tulā-dhr̥ta-ka</w:t>
      </w:r>
      <w:r>
        <w:rPr>
          <w:rStyle w:val="ColorMagenta"/>
        </w:rPr>
        <w:t xml:space="preserve">¡ḷ!</w:t>
      </w:r>
      <w:r>
        <w:rPr>
          <w:rStyle w:val="ColorBlue"/>
        </w:rPr>
        <w:t xml:space="preserve">⟨l⟩</w:t>
      </w:r>
      <w:r>
        <w:t xml:space="preserve">adh</w:t>
      </w:r>
      <w:r>
        <w:rPr>
          <w:rStyle w:val="ColorRed"/>
        </w:rPr>
        <w:t xml:space="preserve">¿o?</w:t>
      </w:r>
      <w:r>
        <w:rPr>
          <w:rStyle w:val="ColorGreen"/>
        </w:rPr>
        <w:t xml:space="preserve">⟨au⟩</w:t>
      </w:r>
      <w:r>
        <w:t xml:space="preserve">ta-d</w:t>
      </w:r>
      <w:r>
        <w:rPr>
          <w:rStyle w:val="ColorRed"/>
        </w:rPr>
        <w:t xml:space="preserve">¿a?</w:t>
      </w:r>
      <w:r>
        <w:rPr>
          <w:rStyle w:val="ColorGreen"/>
        </w:rPr>
        <w:t xml:space="preserve">⟨ā⟩</w:t>
      </w:r>
      <w:r>
        <w:t xml:space="preserve">na-pūta-śar</w:t>
      </w:r>
      <w:r>
        <w:rPr>
          <w:rStyle w:val="ColorRed"/>
        </w:rPr>
        <w:t xml:space="preserve">¿i?</w:t>
      </w:r>
      <w:r>
        <w:rPr>
          <w:rStyle w:val="ColorGreen"/>
        </w:rPr>
        <w:t xml:space="preserve">⟨ī⟩</w:t>
      </w:r>
      <w:r>
        <w:t xml:space="preserve">ra</w:t>
      </w:r>
      <w:r>
        <w:rPr>
          <w:rStyle w:val="ColorRed"/>
        </w:rPr>
        <w:t xml:space="preserve">¿ḥ?</w:t>
      </w:r>
      <w:r>
        <w:rPr>
          <w:rStyle w:val="ColorGreen"/>
        </w:rPr>
        <w:t xml:space="preserve">⟨sya⟩</w:t>
      </w:r>
      <w:r>
        <w:t xml:space="preserve"> </w:t>
      </w:r>
      <w:r>
        <w:t xml:space="preserve">samasta-bhuvanāśra</w:t>
      </w:r>
      <w:r>
        <w:rPr>
          <w:rStyle w:val="ColorGray"/>
        </w:rPr>
        <w:t xml:space="preserve">⟨10⟩</w:t>
      </w:r>
      <w:r>
        <w:t xml:space="preserve">ya-śrī-vijayāditya-mahārājasya priya-tanayaḥ samati</w:t>
      </w:r>
      <w:r>
        <w:rPr>
          <w:rStyle w:val="ColorRed"/>
        </w:rPr>
        <w:t xml:space="preserve">¿s?</w:t>
      </w:r>
      <w:r>
        <w:rPr>
          <w:rStyle w:val="ColorGreen"/>
        </w:rPr>
        <w:t xml:space="preserve">⟨ś⟩</w:t>
      </w:r>
      <w:r>
        <w:t xml:space="preserve">a</w:t>
      </w:r>
      <w:r>
        <w:rPr>
          <w:rStyle w:val="ColorGray"/>
        </w:rPr>
        <w:t xml:space="preserve">⟨11⟩</w:t>
      </w:r>
      <w:r>
        <w:t xml:space="preserve">yita-pi◯tr̥-guṇa⟨ḥ⟩ śakti-sampanna⟨ḥ⟩ samyak-prajā-pālanaḫ parama</w:t>
      </w:r>
      <w:r>
        <w:rPr>
          <w:rStyle w:val="ColorGray"/>
        </w:rPr>
        <w:t xml:space="preserve">⟨12⟩</w:t>
      </w:r>
      <w:r>
        <w:t xml:space="preserve">-brahmaṇya⟨ḥ⟩ mātā-pitr̥-pād</w:t>
      </w:r>
      <w:r>
        <w:rPr>
          <w:rStyle w:val="ColorRed"/>
        </w:rPr>
        <w:t xml:space="preserve">¿a?</w:t>
      </w:r>
      <w:r>
        <w:rPr>
          <w:rStyle w:val="ColorGreen"/>
        </w:rPr>
        <w:t xml:space="preserve">⟨ā⟩</w:t>
      </w:r>
      <w:r>
        <w:t xml:space="preserve">nudhyāta⟨ḥ⟩ sarvva-lokāśraya-śrī-viṣnuva</w:t>
      </w:r>
      <w:r>
        <w:rPr>
          <w:rStyle w:val="ColorGray"/>
        </w:rPr>
        <w:t xml:space="preserve">⟨13⟩</w:t>
      </w:r>
      <w:r>
        <w:t xml:space="preserve">(r)ddhana-mahārājādhirāja-parameśva⟨ra⟩-bhaṭṭ</w:t>
      </w:r>
      <w:r>
        <w:rPr>
          <w:rStyle w:val="ColorRed"/>
        </w:rPr>
        <w:t xml:space="preserve">¿a?</w:t>
      </w:r>
      <w:r>
        <w:rPr>
          <w:rStyle w:val="ColorGreen"/>
        </w:rPr>
        <w:t xml:space="preserve">⟨ā⟩</w:t>
      </w:r>
      <w:r>
        <w:t xml:space="preserve">rakaḥ gudavadi-vi</w:t>
      </w:r>
      <w:r>
        <w:rPr>
          <w:rStyle w:val="ColorGray"/>
        </w:rPr>
        <w:t xml:space="preserve">⟨14⟩</w:t>
      </w:r>
      <w:r>
        <w:t xml:space="preserve">ṣaye ḻūḷā nāma grāme rāṣṭrak</w:t>
      </w:r>
      <w:r>
        <w:rPr>
          <w:rStyle w:val="ColorRed"/>
        </w:rPr>
        <w:t xml:space="preserve">¿u?</w:t>
      </w:r>
      <w:r>
        <w:rPr>
          <w:rStyle w:val="ColorGreen"/>
        </w:rPr>
        <w:t xml:space="preserve">⟨ū⟩</w:t>
      </w:r>
      <w:r>
        <w:t xml:space="preserve">ṭa-pramukhā</w:t>
      </w:r>
      <w:r>
        <w:rPr>
          <w:rStyle w:val="ColorRed"/>
        </w:rPr>
        <w:t xml:space="preserve">¿ṁ?</w:t>
      </w:r>
      <w:r>
        <w:rPr>
          <w:rStyle w:val="ColorGreen"/>
        </w:rPr>
        <w:t xml:space="preserve">⟨n⟩</w:t>
      </w:r>
      <w:r>
        <w:t xml:space="preserve"> </w:t>
      </w:r>
      <w:r>
        <w:t xml:space="preserve">kuṭ</w:t>
      </w:r>
      <w:r>
        <w:rPr>
          <w:rStyle w:val="ColorMagenta"/>
        </w:rPr>
        <w:t xml:space="preserve">¡i!</w:t>
      </w:r>
      <w:r>
        <w:rPr>
          <w:rStyle w:val="ColorBlue"/>
        </w:rPr>
        <w:t xml:space="preserve">⟨u⟩</w:t>
      </w:r>
      <w:r>
        <w:t xml:space="preserve">⟨ṁ⟩bi</w:t>
      </w:r>
      <w:r>
        <w:rPr>
          <w:rStyle w:val="ColorGray"/>
        </w:rPr>
        <w:t xml:space="preserve">⟨Page 2v⟩</w:t>
      </w:r>
      <w:r>
        <w:rPr>
          <w:rStyle w:val="ColorGray"/>
        </w:rPr>
        <w:t xml:space="preserve">⟨15⟩</w:t>
      </w:r>
      <w:r>
        <w:t xml:space="preserve">na⟨ḥ⟩ sarvvān ittha{M}m ājñāpayati</w:t>
      </w:r>
    </w:p>
    <w:p>
      <w:pPr>
        <w:pStyle w:val="BodyText"/>
      </w:pPr>
      <w:r>
        <w:t xml:space="preserve">viditam astu vo ⟨’⟩smābhiḥ karace</w:t>
      </w:r>
      <w:r>
        <w:rPr>
          <w:rStyle w:val="ColorGray"/>
        </w:rPr>
        <w:t xml:space="preserve">⟨16⟩</w:t>
      </w:r>
      <w:r>
        <w:t xml:space="preserve">ṟu-vastavy(ā)ya</w:t>
      </w:r>
      <w:r>
        <w:t xml:space="preserve"> </w:t>
      </w:r>
      <w:r>
        <w:rPr>
          <w:rStyle w:val="ColorRed"/>
        </w:rPr>
        <w:t xml:space="preserve">¿A?</w:t>
      </w:r>
      <w:r>
        <w:rPr>
          <w:rStyle w:val="ColorGreen"/>
        </w:rPr>
        <w:t xml:space="preserve">⟨Ā⟩</w:t>
      </w:r>
      <w:r>
        <w:t xml:space="preserve">treya-gotr</w:t>
      </w:r>
      <w:r>
        <w:rPr>
          <w:rStyle w:val="ColorRed"/>
        </w:rPr>
        <w:t xml:space="preserve">¿a?</w:t>
      </w:r>
      <w:r>
        <w:rPr>
          <w:rStyle w:val="ColorGreen"/>
        </w:rPr>
        <w:t xml:space="preserve">⟨ā⟩</w:t>
      </w:r>
      <w:r>
        <w:t xml:space="preserve">ya Ā⟨pa⟩stam</w:t>
      </w:r>
      <w:r>
        <w:rPr>
          <w:rStyle w:val="ColorRed"/>
        </w:rPr>
        <w:t xml:space="preserve">¿bh?</w:t>
      </w:r>
      <w:r>
        <w:rPr>
          <w:rStyle w:val="ColorGreen"/>
        </w:rPr>
        <w:t xml:space="preserve">⟨b⟩</w:t>
      </w:r>
      <w:r>
        <w:t xml:space="preserve">a-sūtr</w:t>
      </w:r>
      <w:r>
        <w:rPr>
          <w:rStyle w:val="ColorRed"/>
        </w:rPr>
        <w:t xml:space="preserve">¿a?</w:t>
      </w:r>
      <w:r>
        <w:rPr>
          <w:rStyle w:val="ColorGreen"/>
        </w:rPr>
        <w:t xml:space="preserve">⟨ā⟩</w:t>
      </w:r>
      <w:r>
        <w:t xml:space="preserve">ya</w:t>
      </w:r>
      <w:r>
        <w:t xml:space="preserve"> </w:t>
      </w:r>
      <w:r>
        <w:rPr>
          <w:rStyle w:val="ColorMagenta"/>
        </w:rPr>
        <w:t xml:space="preserve">¡taitriya!</w:t>
      </w:r>
      <w:r>
        <w:rPr>
          <w:rStyle w:val="ColorBlue"/>
        </w:rPr>
        <w:t xml:space="preserve">⟨taittirīya⟩</w:t>
      </w:r>
      <w:r>
        <w:t xml:space="preserve">-sa</w:t>
      </w:r>
      <w:r>
        <w:rPr>
          <w:rStyle w:val="ColorGray"/>
        </w:rPr>
        <w:t xml:space="preserve">⟨17⟩</w:t>
      </w:r>
      <w:r>
        <w:t xml:space="preserve">brahmac</w:t>
      </w:r>
      <w:r>
        <w:rPr>
          <w:rStyle w:val="ColorRed"/>
        </w:rPr>
        <w:t xml:space="preserve">¿a?</w:t>
      </w:r>
      <w:r>
        <w:rPr>
          <w:rStyle w:val="ColorGreen"/>
        </w:rPr>
        <w:t xml:space="preserve">⟨ā⟩</w:t>
      </w:r>
      <w:r>
        <w:t xml:space="preserve">◯riṇe vasiśa⟨r⟩mmaṇa⟨ḥ⟩ p</w:t>
      </w:r>
      <w:r>
        <w:rPr>
          <w:rStyle w:val="ColorRed"/>
        </w:rPr>
        <w:t xml:space="preserve">¿o?</w:t>
      </w:r>
      <w:r>
        <w:rPr>
          <w:rStyle w:val="ColorGreen"/>
        </w:rPr>
        <w:t xml:space="preserve">⟨au⟩</w:t>
      </w:r>
      <w:r>
        <w:t xml:space="preserve">trāya mādiśa⟨r⟩mmaṇa⟨ḥ⟩ putrāya</w:t>
      </w:r>
      <w:r>
        <w:rPr>
          <w:rStyle w:val="ColorGray"/>
        </w:rPr>
        <w:t xml:space="preserve"> </w:t>
      </w:r>
      <w:r>
        <w:rPr>
          <w:rStyle w:val="ColorGray"/>
        </w:rPr>
        <w:t xml:space="preserve">⟨18⟩</w:t>
      </w:r>
      <w:r>
        <w:rPr>
          <w:rStyle w:val="ColorGray"/>
        </w:rPr>
        <w:t xml:space="preserve"> </w:t>
      </w:r>
      <w:r>
        <w:t xml:space="preserve">ved</w:t>
      </w:r>
      <w:r>
        <w:rPr>
          <w:rStyle w:val="ColorRed"/>
        </w:rPr>
        <w:t xml:space="preserve">¿ā?</w:t>
      </w:r>
      <w:r>
        <w:rPr>
          <w:rStyle w:val="ColorGreen"/>
        </w:rPr>
        <w:t xml:space="preserve">⟨a⟩</w:t>
      </w:r>
      <w:r>
        <w:t xml:space="preserve">◯-vedā⟨ṁ⟩ga-p</w:t>
      </w:r>
      <w:r>
        <w:rPr>
          <w:rStyle w:val="ColorRed"/>
        </w:rPr>
        <w:t xml:space="preserve">¿a?</w:t>
      </w:r>
      <w:r>
        <w:rPr>
          <w:rStyle w:val="ColorGreen"/>
        </w:rPr>
        <w:t xml:space="preserve">⟨ā⟩</w:t>
      </w:r>
      <w:r>
        <w:t xml:space="preserve">rag(ā)ya sarvvaśa⟨r⟩mmaṇ</w:t>
      </w:r>
      <w:r>
        <w:rPr>
          <w:rStyle w:val="ColorRed"/>
        </w:rPr>
        <w:t xml:space="preserve">¿a?</w:t>
      </w:r>
      <w:r>
        <w:rPr>
          <w:rStyle w:val="ColorGreen"/>
        </w:rPr>
        <w:t xml:space="preserve">⟨e⟩</w:t>
      </w:r>
      <w:r>
        <w:t xml:space="preserve"> </w:t>
      </w:r>
      <w:r>
        <w:t xml:space="preserve">sū</w:t>
      </w:r>
      <w:r>
        <w:rPr>
          <w:rStyle w:val="ColorRed"/>
        </w:rPr>
        <w:t xml:space="preserve">¿jyā?</w:t>
      </w:r>
      <w:r>
        <w:rPr>
          <w:rStyle w:val="ColorGreen"/>
        </w:rPr>
        <w:t xml:space="preserve">⟨rya⟩</w:t>
      </w:r>
      <w:r>
        <w:t xml:space="preserve">-gr</w:t>
      </w:r>
      <w:r>
        <w:rPr>
          <w:rStyle w:val="ColorRed"/>
        </w:rPr>
        <w:t xml:space="preserve">¿ā?</w:t>
      </w:r>
      <w:r>
        <w:rPr>
          <w:rStyle w:val="ColorGreen"/>
        </w:rPr>
        <w:t xml:space="preserve">⟨a⟩</w:t>
      </w:r>
      <w:r>
        <w:t xml:space="preserve">haṇa</w:t>
      </w:r>
      <w:r>
        <w:rPr>
          <w:rStyle w:val="ColorGray"/>
        </w:rPr>
        <w:t xml:space="preserve">⟨19⟩</w:t>
      </w:r>
      <w:r>
        <w:t xml:space="preserve">-nimit⟨t⟩e Udaka-pūrvva⟨ṁ⟩ datt</w:t>
      </w:r>
      <w:r>
        <w:rPr>
          <w:rStyle w:val="ColorRed"/>
        </w:rPr>
        <w:t xml:space="preserve">¿ā?</w:t>
      </w:r>
      <w:r>
        <w:rPr>
          <w:rStyle w:val="ColorGreen"/>
        </w:rPr>
        <w:t xml:space="preserve">⟨aṁ⟩</w:t>
      </w:r>
      <w:r>
        <w:t xml:space="preserve"> </w:t>
      </w:r>
      <w:r>
        <w:t xml:space="preserve">dvādaśa-khaṇḍika-</w:t>
      </w:r>
      <w:r>
        <w:rPr>
          <w:rStyle w:val="ColorMagenta"/>
        </w:rPr>
        <w:t xml:space="preserve">¡g!</w:t>
      </w:r>
      <w:r>
        <w:rPr>
          <w:rStyle w:val="ColorBlue"/>
        </w:rPr>
        <w:t xml:space="preserve">⟨k⟩</w:t>
      </w:r>
      <w:r>
        <w:t xml:space="preserve">odrava-b</w:t>
      </w:r>
      <w:r>
        <w:rPr>
          <w:rStyle w:val="ColorRed"/>
        </w:rPr>
        <w:t xml:space="preserve">¿i?</w:t>
      </w:r>
      <w:r>
        <w:rPr>
          <w:rStyle w:val="ColorGreen"/>
        </w:rPr>
        <w:t xml:space="preserve">⟨ī⟩</w:t>
      </w:r>
      <w:r>
        <w:t xml:space="preserve">ja-pra</w:t>
      </w:r>
      <w:r>
        <w:rPr>
          <w:rStyle w:val="ColorGray"/>
        </w:rPr>
        <w:t xml:space="preserve">⟨20⟩</w:t>
      </w:r>
      <w:r>
        <w:t xml:space="preserve">m</w:t>
      </w:r>
      <w:r>
        <w:rPr>
          <w:rStyle w:val="ColorRed"/>
        </w:rPr>
        <w:t xml:space="preserve">¿a?</w:t>
      </w:r>
      <w:r>
        <w:rPr>
          <w:rStyle w:val="ColorGreen"/>
        </w:rPr>
        <w:t xml:space="preserve">⟨ā⟩</w:t>
      </w:r>
      <w:r>
        <w:rPr>
          <w:rStyle w:val="ColorRed"/>
        </w:rPr>
        <w:t xml:space="preserve">¿nā?</w:t>
      </w:r>
      <w:r>
        <w:rPr>
          <w:rStyle w:val="ColorGreen"/>
        </w:rPr>
        <w:t xml:space="preserve">⟨ṇa⟩</w:t>
      </w:r>
      <w:r>
        <w:t xml:space="preserve">ṁ kṣetraṁ⟨.⟩ pūrvvataḥ Ātrayyaśa⟨r⟩mma-kṣetraṁ⟨.⟩ dakṣiṇata(ḥ) ko</w:t>
      </w:r>
      <w:r>
        <w:rPr>
          <w:rStyle w:val="ColorGray"/>
        </w:rPr>
        <w:t xml:space="preserve">⟨21⟩</w:t>
      </w:r>
      <w:r>
        <w:t xml:space="preserve">ṟikiyaṟi-sīm</w:t>
      </w:r>
      <w:r>
        <w:rPr>
          <w:rStyle w:val="ColorRed"/>
        </w:rPr>
        <w:t xml:space="preserve">¿aḥ?</w:t>
      </w:r>
      <w:r>
        <w:rPr>
          <w:rStyle w:val="ColorGreen"/>
        </w:rPr>
        <w:t xml:space="preserve">⟨ā⟩</w:t>
      </w:r>
      <w:r>
        <w:t xml:space="preserve">⟨.⟩ paścimataḥ</w:t>
      </w:r>
      <w:r>
        <w:t xml:space="preserve"> </w:t>
      </w:r>
      <w:r>
        <w:rPr>
          <w:rStyle w:val="ColorMagenta"/>
        </w:rPr>
        <w:t xml:space="preserve">¡godavārī!</w:t>
      </w:r>
      <w:r>
        <w:t xml:space="preserve"> </w:t>
      </w:r>
      <w:r>
        <w:t xml:space="preserve">na</w:t>
      </w:r>
      <w:r>
        <w:rPr>
          <w:rStyle w:val="ColorRed"/>
        </w:rPr>
        <w:t xml:space="preserve">¿dhi?</w:t>
      </w:r>
      <w:r>
        <w:rPr>
          <w:rStyle w:val="ColorGreen"/>
        </w:rPr>
        <w:t xml:space="preserve">⟨dī⟩</w:t>
      </w:r>
      <w:r>
        <w:t xml:space="preserve">⟨.⟩ Uttarataḥ</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⟨22⟩</w:t>
      </w:r>
      <w:r>
        <w:rPr>
          <w:rStyle w:val="ColorGray"/>
        </w:rPr>
        <w:t xml:space="preserve"> </w:t>
      </w:r>
      <w:r>
        <w:t xml:space="preserve">borisabo-kṣetraṁ⟨.⟩ Eteṣ</w:t>
      </w:r>
      <w:r>
        <w:rPr>
          <w:rStyle w:val="ColorRed"/>
        </w:rPr>
        <w:t xml:space="preserve">¿a?</w:t>
      </w:r>
      <w:r>
        <w:rPr>
          <w:rStyle w:val="ColorGreen"/>
        </w:rPr>
        <w:t xml:space="preserve">⟨āṁ⟩</w:t>
      </w:r>
      <w:r>
        <w:t xml:space="preserve"> </w:t>
      </w:r>
      <w:r>
        <w:t xml:space="preserve">m</w:t>
      </w:r>
      <w:r>
        <w:rPr>
          <w:rStyle w:val="ColorRed"/>
        </w:rPr>
        <w:t xml:space="preserve">¿ā?</w:t>
      </w:r>
      <w:r>
        <w:rPr>
          <w:rStyle w:val="ColorGreen"/>
        </w:rPr>
        <w:t xml:space="preserve">⟨a⟩</w:t>
      </w:r>
      <w:r>
        <w:t xml:space="preserve">dhy</w:t>
      </w:r>
      <w:r>
        <w:rPr>
          <w:rStyle w:val="ColorRed"/>
        </w:rPr>
        <w:t xml:space="preserve">¿ā?</w:t>
      </w:r>
      <w:r>
        <w:rPr>
          <w:rStyle w:val="ColorGreen"/>
        </w:rPr>
        <w:t xml:space="preserve">⟨a⟩</w:t>
      </w:r>
      <w:r>
        <w:t xml:space="preserve">-va⟨r⟩tti⟨.⟩ sarvva-k</w:t>
      </w:r>
      <w:r>
        <w:rPr>
          <w:rStyle w:val="ColorRed"/>
        </w:rPr>
        <w:t xml:space="preserve">¿ā?</w:t>
      </w:r>
      <w:r>
        <w:rPr>
          <w:rStyle w:val="ColorGreen"/>
        </w:rPr>
        <w:t xml:space="preserve">⟨a⟩</w:t>
      </w:r>
      <w:r>
        <w:t xml:space="preserve">ra</w:t>
      </w:r>
      <w:r>
        <w:rPr>
          <w:rStyle w:val="ColorGray"/>
        </w:rPr>
        <w:t xml:space="preserve">⟨23⟩</w:t>
      </w:r>
      <w:r>
        <w:t xml:space="preserve">-parihār</w:t>
      </w:r>
      <w:r>
        <w:rPr>
          <w:rStyle w:val="ColorRed"/>
        </w:rPr>
        <w:t xml:space="preserve">¿i?</w:t>
      </w:r>
      <w:r>
        <w:rPr>
          <w:rStyle w:val="ColorGreen"/>
        </w:rPr>
        <w:t xml:space="preserve">⟨ī⟩</w:t>
      </w:r>
      <w:r>
        <w:t xml:space="preserve">-kr̥tya</w:t>
      </w:r>
    </w:p>
    <w:p>
      <w:pPr>
        <w:pStyle w:val="BodyText"/>
      </w:pPr>
      <w:r>
        <w:t xml:space="preserve">1.</w:t>
      </w:r>
      <w:r>
        <w:t xml:space="preserve"> </w:t>
      </w:r>
      <w:hyperlink r:id="rId9">
        <w:r>
          <w:rPr>
            <w:rStyle w:val="Hyperlink"/>
          </w:rPr>
          <w:t xml:space="preserve">Anuṣṭubh</w:t>
        </w:r>
      </w:hyperlink>
    </w:p>
    <w:p>
      <w:pPr>
        <w:pStyle w:val="BodyText"/>
      </w:pPr>
      <w:r>
        <w:t xml:space="preserve">Asya dha⟨r⟩mmasya guṇavān{n}</w:t>
      </w:r>
      <w:r>
        <w:br/>
      </w:r>
      <w:r>
        <w:t xml:space="preserve">ājñapti⟨r⟩ vinayā</w:t>
      </w:r>
      <w:r>
        <w:rPr>
          <w:rStyle w:val="ColorGray"/>
        </w:rPr>
        <w:t xml:space="preserve">⟨24⟩</w:t>
      </w:r>
      <w:r>
        <w:t xml:space="preserve">nvitaḥ</w:t>
      </w:r>
      <w:r>
        <w:br/>
      </w:r>
      <w:r>
        <w:t xml:space="preserve">ja◯yar</w:t>
      </w:r>
      <w:r>
        <w:rPr>
          <w:rStyle w:val="ColorRed"/>
        </w:rPr>
        <w:t xml:space="preserve">¿u?</w:t>
      </w:r>
      <w:r>
        <w:rPr>
          <w:rStyle w:val="ColorGreen"/>
        </w:rPr>
        <w:t xml:space="preserve">⟨ū⟩</w:t>
      </w:r>
      <w:r>
        <w:t xml:space="preserve">pa Iti khyāto</w:t>
      </w:r>
      <w:r>
        <w:br/>
      </w:r>
      <w:r>
        <w:t xml:space="preserve">loke ⟨’⟩smin dharmma-va</w:t>
      </w:r>
      <w:r>
        <w:rPr>
          <w:rStyle w:val="ColorGray"/>
        </w:rPr>
        <w:t xml:space="preserve">⟨25⟩</w:t>
      </w:r>
      <w:r>
        <w:t xml:space="preserve">tsalaḥ ◯</w:t>
      </w:r>
    </w:p>
    <w:p>
      <w:pPr>
        <w:pStyle w:val="BodyText"/>
      </w:pPr>
      <w:r>
        <w:t xml:space="preserve">Asyopari na kenacid</w:t>
      </w:r>
      <w:r>
        <w:t xml:space="preserve"> </w:t>
      </w:r>
      <w:r>
        <w:rPr>
          <w:rStyle w:val="ColorRed"/>
        </w:rPr>
        <w:t xml:space="preserve">¿bh?</w:t>
      </w:r>
      <w:r>
        <w:rPr>
          <w:rStyle w:val="ColorGreen"/>
        </w:rPr>
        <w:t xml:space="preserve">⟨b⟩</w:t>
      </w:r>
      <w:r>
        <w:t xml:space="preserve">ādhā karaṇīyā⟨.⟩ karoti ya</w:t>
      </w:r>
      <w:r>
        <w:rPr>
          <w:rStyle w:val="ColorGray"/>
        </w:rPr>
        <w:t xml:space="preserve">⟨26⟩</w:t>
      </w:r>
      <w:r>
        <w:t xml:space="preserve">s sa pañca-mahāpātaka-saṁyukta(ḥ) bhavati⟨.⟩ vyāsenāpy uktaM</w:t>
      </w:r>
    </w:p>
    <w:p>
      <w:pPr>
        <w:pStyle w:val="BodyText"/>
      </w:pPr>
      <w:r>
        <w:t xml:space="preserve">2.</w:t>
      </w:r>
      <w:r>
        <w:t xml:space="preserve"> </w:t>
      </w:r>
      <w:hyperlink r:id="rId9">
        <w:r>
          <w:rPr>
            <w:rStyle w:val="Hyperlink"/>
          </w:rPr>
          <w:t xml:space="preserve">Anuṣṭubh</w:t>
        </w:r>
      </w:hyperlink>
    </w:p>
    <w:p>
      <w:pPr>
        <w:pStyle w:val="BodyText"/>
      </w:pPr>
      <w:r>
        <w:t xml:space="preserve">bahubhi</w:t>
      </w:r>
      <w:r>
        <w:rPr>
          <w:rStyle w:val="ColorGray"/>
        </w:rPr>
        <w:t xml:space="preserve">⟨27⟩</w:t>
      </w:r>
      <w:r>
        <w:t xml:space="preserve">r vvasu</w:t>
      </w:r>
      <w:r>
        <w:rPr>
          <w:rStyle w:val="ColorRed"/>
        </w:rPr>
        <w:t xml:space="preserve">¿d?</w:t>
      </w:r>
      <w:r>
        <w:rPr>
          <w:rStyle w:val="ColorGreen"/>
        </w:rPr>
        <w:t xml:space="preserve">⟨dh⟩</w:t>
      </w:r>
      <w:r>
        <w:t xml:space="preserve">ā dattā</w:t>
      </w:r>
      <w:r>
        <w:br/>
      </w:r>
      <w:r>
        <w:t xml:space="preserve">bahubhiś cānupālitā</w:t>
      </w:r>
      <w:r>
        <w:br/>
      </w:r>
      <w:r>
        <w:t xml:space="preserve">yasya yasya yad</w:t>
      </w:r>
      <w:r>
        <w:rPr>
          <w:rStyle w:val="ColorRed"/>
        </w:rPr>
        <w:t xml:space="preserve">¿a?</w:t>
      </w:r>
      <w:r>
        <w:rPr>
          <w:rStyle w:val="ColorGreen"/>
        </w:rPr>
        <w:t xml:space="preserve">⟨ā⟩</w:t>
      </w:r>
      <w:r>
        <w:t xml:space="preserve"> </w:t>
      </w:r>
      <w:r>
        <w:t xml:space="preserve">bhūmi</w:t>
      </w:r>
      <w:r>
        <w:rPr>
          <w:rStyle w:val="ColorGray"/>
        </w:rPr>
        <w:t xml:space="preserve">⟨28⟩</w:t>
      </w:r>
      <w:r>
        <w:t xml:space="preserve">s</w:t>
      </w:r>
      <w:r>
        <w:br/>
      </w:r>
      <w:r>
        <w:t xml:space="preserve">tasya tasya tadā phalaM</w:t>
      </w:r>
    </w:p>
    <w:p>
      <w:pPr>
        <w:pStyle w:val="BodyText"/>
      </w:pPr>
      <w:r>
        <w:rPr>
          <w:rStyle w:val="ColorGray"/>
        </w:rPr>
        <w:t xml:space="preserve">⟨Page 3v⟩</w:t>
      </w:r>
      <w:r>
        <w:rPr>
          <w:rStyle w:val="ColorGray"/>
        </w:rPr>
        <w:t xml:space="preserve"> </w:t>
      </w:r>
    </w:p>
    <w:p>
      <w:pPr>
        <w:pStyle w:val="Heading1"/>
      </w:pPr>
      <w:r>
        <w:t xml:space="preserve">Apparatus</w:t>
      </w:r>
    </w:p>
    <w:p>
      <w:pPr>
        <w:pStyle w:val="FirstParagraph"/>
      </w:pPr>
      <w:r>
        <w:rPr>
          <w:rStyle w:val="ColorGray"/>
        </w:rPr>
        <w:t xml:space="preserve">⟨6⟩</w:t>
      </w:r>
      <w:r>
        <w:t xml:space="preserve"> </w:t>
      </w:r>
      <w:r>
        <w:t xml:space="preserve">ca⟨lu⟩kyānāṁ • I supply the standard form of the name, but the spelling in many related plates including the practically identical</w:t>
      </w:r>
      <w:r>
        <w:t xml:space="preserve"> </w:t>
      </w:r>
      <w:hyperlink r:id="rId10">
        <w:r>
          <w:rPr>
            <w:rStyle w:val="Hyperlink"/>
          </w:rPr>
          <w:t xml:space="preserve">Permmañcili grant of Viṣṇuvardhana IV</w:t>
        </w:r>
      </w:hyperlink>
      <w:r>
        <w:t xml:space="preserve">, is</w:t>
      </w:r>
      <w:r>
        <w:t xml:space="preserve"> </w:t>
      </w:r>
      <w:r>
        <w:rPr>
          <w:i/>
          <w:iCs/>
        </w:rPr>
        <w:t xml:space="preserve">caḷukya</w:t>
      </w:r>
      <w:r>
        <w:t xml:space="preserve">. —</w:t>
      </w:r>
      <w:r>
        <w:t xml:space="preserve"> </w:t>
      </w:r>
      <w:r>
        <w:rPr>
          <w:rStyle w:val="ColorGray"/>
        </w:rPr>
        <w:t xml:space="preserve">⟨6⟩</w:t>
      </w:r>
      <w:r>
        <w:t xml:space="preserve"> </w:t>
      </w:r>
      <w:r>
        <w:t xml:space="preserve">vvividh</w:t>
      </w:r>
      <w:r>
        <w:rPr>
          <w:rStyle w:val="ColorRed"/>
        </w:rPr>
        <w:t xml:space="preserve">¿ā?</w:t>
      </w:r>
      <w:r>
        <w:rPr>
          <w:rStyle w:val="ColorGreen"/>
        </w:rPr>
        <w:t xml:space="preserve">⟨a⟩</w:t>
      </w:r>
      <w:r>
        <w:t xml:space="preserve">-yu{r}ddha- ⬦</w:t>
      </w:r>
      <w:r>
        <w:t xml:space="preserve"> </w:t>
      </w:r>
      <w:r>
        <w:rPr>
          <w:rStyle w:val="ColorGreen"/>
          <w:i/>
          <w:iCs/>
        </w:rPr>
        <w:t xml:space="preserve">vvividh</w:t>
      </w:r>
      <w:r>
        <w:rPr>
          <w:rStyle w:val="ColorRed"/>
          <w:i/>
          <w:iCs/>
        </w:rPr>
        <w:t xml:space="preserve">¿ā?</w:t>
      </w:r>
      <w:r>
        <w:rPr>
          <w:rStyle w:val="ColorGreen"/>
          <w:i/>
          <w:iCs/>
        </w:rPr>
        <w:t xml:space="preserve">⟨a⟩</w:t>
      </w:r>
      <w:r>
        <w:rPr>
          <w:rStyle w:val="ColorGreen"/>
          <w:i/>
          <w:iCs/>
        </w:rPr>
        <w:t xml:space="preserve">-yu⟨d⟩dh</w:t>
      </w:r>
      <w:r>
        <w:rPr>
          <w:rStyle w:val="ColorRed"/>
          <w:i/>
          <w:iCs/>
        </w:rPr>
        <w:t xml:space="preserve">¿ā?</w:t>
      </w:r>
      <w:r>
        <w:rPr>
          <w:rStyle w:val="ColorGreen"/>
          <w:i/>
          <w:iCs/>
        </w:rPr>
        <w:t xml:space="preserve">⟨a⟩</w:t>
      </w:r>
      <w:r>
        <w:rPr>
          <w:rStyle w:val="ColorGreen"/>
          <w:i/>
          <w:iCs/>
        </w:rPr>
        <w:t xml:space="preserve">-</w:t>
      </w:r>
      <w:r>
        <w:t xml:space="preserve"> </w:t>
      </w:r>
      <w:r>
        <w:t xml:space="preserve">MDS. —</w:t>
      </w:r>
      <w:r>
        <w:t xml:space="preserve"> </w:t>
      </w:r>
      <w:r>
        <w:rPr>
          <w:rStyle w:val="ColorGray"/>
        </w:rPr>
        <w:t xml:space="preserve">⟨6⟩</w:t>
      </w:r>
      <w:r>
        <w:t xml:space="preserve"> </w:t>
      </w:r>
      <w:r>
        <w:t xml:space="preserve">-ya•</w:t>
      </w:r>
      <w:r>
        <w:rPr>
          <w:rStyle w:val="ColorGray"/>
        </w:rPr>
        <w:t xml:space="preserve">⟨7⟩</w:t>
      </w:r>
      <w:r>
        <w:t xml:space="preserve">śa⟨saḥ⟩ ⬦</w:t>
      </w:r>
      <w:r>
        <w:t xml:space="preserve"> </w:t>
      </w:r>
      <w:r>
        <w:rPr>
          <w:rStyle w:val="ColorGreen"/>
          <w:i/>
          <w:iCs/>
        </w:rPr>
        <w:t xml:space="preserve">-ya</w:t>
      </w:r>
      <w:r>
        <w:rPr>
          <w:rStyle w:val="ColorGray"/>
          <w:i/>
          <w:iCs/>
        </w:rPr>
        <w:t xml:space="preserve">⟨7⟩</w:t>
      </w:r>
      <w:r>
        <w:rPr>
          <w:rStyle w:val="ColorGreen"/>
          <w:i/>
          <w:iCs/>
        </w:rPr>
        <w:t xml:space="preserve">ś</w:t>
      </w:r>
      <w:r>
        <w:rPr>
          <w:rStyle w:val="ColorRed"/>
          <w:i/>
          <w:iCs/>
        </w:rPr>
        <w:t xml:space="preserve">¿a?</w:t>
      </w:r>
      <w:r>
        <w:rPr>
          <w:rStyle w:val="ColorGreen"/>
          <w:i/>
          <w:iCs/>
        </w:rPr>
        <w:t xml:space="preserve">⟨ā⟩</w:t>
      </w:r>
      <w:r>
        <w:rPr>
          <w:rStyle w:val="ColorGreen"/>
          <w:i/>
          <w:iCs/>
        </w:rPr>
        <w:t xml:space="preserve">⟨ḥ⟩</w:t>
      </w:r>
      <w:r>
        <w:t xml:space="preserve"> </w:t>
      </w:r>
      <w:r>
        <w:t xml:space="preserve">MDS • The sign at the end of the line may be an aborted headmark or a space filler.</w:t>
      </w:r>
    </w:p>
    <w:p>
      <w:pPr>
        <w:pStyle w:val="BodyText"/>
      </w:pPr>
      <w:r>
        <w:rPr>
          <w:rStyle w:val="ColorGray"/>
        </w:rPr>
        <w:t xml:space="preserve">⟨8⟩</w:t>
      </w:r>
      <w:r>
        <w:t xml:space="preserve"> </w:t>
      </w:r>
      <w:r>
        <w:t xml:space="preserve">-ghaṭitāneka- ⬦</w:t>
      </w:r>
      <w:r>
        <w:t xml:space="preserve"> </w:t>
      </w:r>
      <w:r>
        <w:rPr>
          <w:rStyle w:val="ColorGreen"/>
          <w:i/>
          <w:iCs/>
        </w:rPr>
        <w:t xml:space="preserve">-ghaṭit</w:t>
      </w:r>
      <w:r>
        <w:rPr>
          <w:rStyle w:val="ColorRed"/>
          <w:i/>
          <w:iCs/>
        </w:rPr>
        <w:t xml:space="preserve">¿o?</w:t>
      </w:r>
      <w:r>
        <w:rPr>
          <w:rStyle w:val="ColorGreen"/>
          <w:i/>
          <w:iCs/>
        </w:rPr>
        <w:t xml:space="preserve">⟨ā⟩</w:t>
      </w:r>
      <w:r>
        <w:rPr>
          <w:rStyle w:val="ColorGreen"/>
          <w:i/>
          <w:iCs/>
        </w:rPr>
        <w:t xml:space="preserve">neka-</w:t>
      </w:r>
      <w:r>
        <w:t xml:space="preserve"> </w:t>
      </w:r>
      <w:r>
        <w:t xml:space="preserve">MDS • There is an extra stroke atop</w:t>
      </w:r>
      <w:r>
        <w:t xml:space="preserve"> </w:t>
      </w:r>
      <w:r>
        <w:rPr>
          <w:i/>
          <w:iCs/>
        </w:rPr>
        <w:t xml:space="preserve">tā</w:t>
      </w:r>
      <w:r>
        <w:t xml:space="preserve">, but it is probably an accident or a fault of the metal, as it does not look like the second stroke of</w:t>
      </w:r>
      <w:r>
        <w:t xml:space="preserve"> </w:t>
      </w:r>
      <w:r>
        <w:rPr>
          <w:i/>
          <w:iCs/>
        </w:rPr>
        <w:t xml:space="preserve">o</w:t>
      </w:r>
      <w:r>
        <w:t xml:space="preserve">. —</w:t>
      </w:r>
      <w:r>
        <w:t xml:space="preserve"> </w:t>
      </w:r>
      <w:r>
        <w:rPr>
          <w:rStyle w:val="ColorGray"/>
        </w:rPr>
        <w:t xml:space="preserve">⟨8⟩</w:t>
      </w:r>
      <w:r>
        <w:t xml:space="preserve"> </w:t>
      </w:r>
      <w:r>
        <w:t xml:space="preserve">-r(ā)ga- ⬦</w:t>
      </w:r>
      <w:r>
        <w:t xml:space="preserve"> </w:t>
      </w:r>
      <w:r>
        <w:rPr>
          <w:rStyle w:val="ColorGreen"/>
          <w:i/>
          <w:iCs/>
        </w:rPr>
        <w:t xml:space="preserve">-ra(ś)⟨m⟩(i)-</w:t>
      </w:r>
      <w:r>
        <w:t xml:space="preserve"> </w:t>
      </w:r>
      <w:r>
        <w:t xml:space="preserve">MDS. —</w:t>
      </w:r>
      <w:r>
        <w:t xml:space="preserve"> </w:t>
      </w:r>
      <w:r>
        <w:rPr>
          <w:rStyle w:val="ColorGray"/>
        </w:rPr>
        <w:t xml:space="preserve">⟨8⟩</w:t>
      </w:r>
      <w:r>
        <w:t xml:space="preserve"> </w:t>
      </w:r>
      <w:r>
        <w:t xml:space="preserve">-yuga</w:t>
      </w:r>
      <w:r>
        <w:rPr>
          <w:rStyle w:val="ColorMagenta"/>
        </w:rPr>
        <w:t xml:space="preserve">¡ḷ!</w:t>
      </w:r>
      <w:r>
        <w:rPr>
          <w:rStyle w:val="ColorBlue"/>
        </w:rPr>
        <w:t xml:space="preserve">⟨l⟩</w:t>
      </w:r>
      <w:r>
        <w:t xml:space="preserve">a</w:t>
      </w:r>
      <w:r>
        <w:rPr>
          <w:rStyle w:val="ColorRed"/>
        </w:rPr>
        <w:t xml:space="preserve">¿ḥ?</w:t>
      </w:r>
      <w:r>
        <w:rPr>
          <w:rStyle w:val="ColorGreen"/>
        </w:rPr>
        <w:t xml:space="preserve">⟨sya⟩</w:t>
      </w:r>
      <w:r>
        <w:t xml:space="preserve"> </w:t>
      </w:r>
      <w:r>
        <w:t xml:space="preserve">⬦</w:t>
      </w:r>
      <w:r>
        <w:t xml:space="preserve"> </w:t>
      </w:r>
      <w:r>
        <w:rPr>
          <w:rStyle w:val="ColorGreen"/>
          <w:i/>
          <w:iCs/>
        </w:rPr>
        <w:t xml:space="preserve">-yugaḷaḥ</w:t>
      </w:r>
      <w:r>
        <w:t xml:space="preserve"> </w:t>
      </w:r>
      <w:r>
        <w:t xml:space="preserve">MDS • In my opinion this phrase refers to Vijayāditya.</w:t>
      </w:r>
    </w:p>
    <w:p>
      <w:pPr>
        <w:pStyle w:val="BodyText"/>
      </w:pPr>
      <w:r>
        <w:rPr>
          <w:rStyle w:val="ColorGray"/>
        </w:rPr>
        <w:t xml:space="preserve">⟨9⟩</w:t>
      </w:r>
      <w:r>
        <w:t xml:space="preserve"> </w:t>
      </w:r>
      <w:r>
        <w:t xml:space="preserve">-śar</w:t>
      </w:r>
      <w:r>
        <w:rPr>
          <w:rStyle w:val="ColorRed"/>
        </w:rPr>
        <w:t xml:space="preserve">¿i?</w:t>
      </w:r>
      <w:r>
        <w:rPr>
          <w:rStyle w:val="ColorGreen"/>
        </w:rPr>
        <w:t xml:space="preserve">⟨ī⟩</w:t>
      </w:r>
      <w:r>
        <w:t xml:space="preserve">ra</w:t>
      </w:r>
      <w:r>
        <w:rPr>
          <w:rStyle w:val="ColorRed"/>
        </w:rPr>
        <w:t xml:space="preserve">¿ḥ?</w:t>
      </w:r>
      <w:r>
        <w:rPr>
          <w:rStyle w:val="ColorGreen"/>
        </w:rPr>
        <w:t xml:space="preserve">⟨sya⟩</w:t>
      </w:r>
      <w:r>
        <w:t xml:space="preserve"> </w:t>
      </w:r>
      <w:r>
        <w:t xml:space="preserve">⬦</w:t>
      </w:r>
      <w:r>
        <w:t xml:space="preserve"> </w:t>
      </w:r>
      <w:r>
        <w:rPr>
          <w:rStyle w:val="ColorGreen"/>
          <w:i/>
          <w:iCs/>
        </w:rPr>
        <w:t xml:space="preserve">-śarīraḥ</w:t>
      </w:r>
      <w:r>
        <w:t xml:space="preserve"> </w:t>
      </w:r>
      <w:r>
        <w:t xml:space="preserve">MDS • In my opinion this phrase refers to Vijayāditya.</w:t>
      </w:r>
    </w:p>
    <w:p>
      <w:pPr>
        <w:pStyle w:val="BodyText"/>
      </w:pPr>
      <w:r>
        <w:rPr>
          <w:rStyle w:val="ColorGray"/>
        </w:rPr>
        <w:t xml:space="preserve">⟨11⟩</w:t>
      </w:r>
      <w:r>
        <w:t xml:space="preserve"> </w:t>
      </w:r>
      <w:r>
        <w:t xml:space="preserve">-guṇa⟨ḥ⟩ ⬦</w:t>
      </w:r>
      <w:r>
        <w:t xml:space="preserve"> </w:t>
      </w:r>
      <w:r>
        <w:rPr>
          <w:rStyle w:val="ColorGreen"/>
          <w:i/>
          <w:iCs/>
        </w:rPr>
        <w:t xml:space="preserve">-guṇa-</w:t>
      </w:r>
      <w:r>
        <w:t xml:space="preserve"> </w:t>
      </w:r>
      <w:r>
        <w:t xml:space="preserve">MDS. —</w:t>
      </w:r>
      <w:r>
        <w:t xml:space="preserve"> </w:t>
      </w:r>
      <w:r>
        <w:rPr>
          <w:rStyle w:val="ColorGray"/>
        </w:rPr>
        <w:t xml:space="preserve">⟨11⟩</w:t>
      </w:r>
      <w:r>
        <w:t xml:space="preserve"> </w:t>
      </w:r>
      <w:r>
        <w:t xml:space="preserve">-pālanaḫ • Although the text is not strictly incorrect as received, the intent was probably</w:t>
      </w:r>
      <w:r>
        <w:t xml:space="preserve"> </w:t>
      </w:r>
      <w:r>
        <w:rPr>
          <w:i/>
          <w:iCs/>
        </w:rPr>
        <w:t xml:space="preserve">-pālana-paraḫ</w:t>
      </w:r>
      <w:r>
        <w:t xml:space="preserve">; the omission may be due to haplography of</w:t>
      </w:r>
      <w:r>
        <w:t xml:space="preserve"> </w:t>
      </w:r>
      <w:r>
        <w:rPr>
          <w:i/>
          <w:iCs/>
        </w:rPr>
        <w:t xml:space="preserve">para</w:t>
      </w:r>
      <w:r>
        <w:t xml:space="preserve">. Note the identical omission (also involving an</w:t>
      </w:r>
      <w:r>
        <w:t xml:space="preserve"> </w:t>
      </w:r>
      <w:r>
        <w:rPr>
          <w:i/>
          <w:iCs/>
        </w:rPr>
        <w:t xml:space="preserve">upadhmānīya</w:t>
      </w:r>
      <w:r>
        <w:t xml:space="preserve">) in line 11 of the</w:t>
      </w:r>
      <w:r>
        <w:t xml:space="preserve"> </w:t>
      </w:r>
      <w:hyperlink r:id="rId10">
        <w:r>
          <w:rPr>
            <w:rStyle w:val="Hyperlink"/>
          </w:rPr>
          <w:t xml:space="preserve">Permmañcili grant</w:t>
        </w:r>
      </w:hyperlink>
      <w:r>
        <w:t xml:space="preserve">, where</w:t>
      </w:r>
      <w:r>
        <w:t xml:space="preserve"> </w:t>
      </w:r>
      <w:r>
        <w:rPr>
          <w:i/>
          <w:iCs/>
        </w:rPr>
        <w:t xml:space="preserve">-para</w:t>
      </w:r>
      <w:r>
        <w:t xml:space="preserve"> </w:t>
      </w:r>
      <w:r>
        <w:t xml:space="preserve">is also missing, and compare lines 11-12 of the</w:t>
      </w:r>
      <w:r>
        <w:t xml:space="preserve"> </w:t>
      </w:r>
      <w:hyperlink r:id="rId11">
        <w:r>
          <w:rPr>
            <w:rStyle w:val="Hyperlink"/>
          </w:rPr>
          <w:t xml:space="preserve">Gaṇapavaram plates</w:t>
        </w:r>
      </w:hyperlink>
      <w:r>
        <w:t xml:space="preserve">, where my conjecture is confirmed.</w:t>
      </w:r>
    </w:p>
    <w:p>
      <w:pPr>
        <w:pStyle w:val="BodyText"/>
      </w:pPr>
      <w:r>
        <w:rPr>
          <w:rStyle w:val="ColorGray"/>
        </w:rPr>
        <w:t xml:space="preserve">⟨12⟩</w:t>
      </w:r>
      <w:r>
        <w:t xml:space="preserve"> </w:t>
      </w:r>
      <w:r>
        <w:t xml:space="preserve">-lokāśraya- ⬦</w:t>
      </w:r>
      <w:r>
        <w:t xml:space="preserve"> </w:t>
      </w:r>
      <w:r>
        <w:rPr>
          <w:rStyle w:val="ColorGreen"/>
          <w:i/>
          <w:iCs/>
        </w:rPr>
        <w:t xml:space="preserve">-lokāśraya⟨ḥ⟩</w:t>
      </w:r>
      <w:r>
        <w:t xml:space="preserve"> </w:t>
      </w:r>
      <w:r>
        <w:t xml:space="preserve">MDS • An insignificant detail, but this epithet is used without a nominative ending in almost all related grants. —</w:t>
      </w:r>
      <w:r>
        <w:t xml:space="preserve"> </w:t>
      </w:r>
      <w:r>
        <w:rPr>
          <w:rStyle w:val="ColorGray"/>
        </w:rPr>
        <w:t xml:space="preserve">⟨12⟩</w:t>
      </w:r>
      <w:r>
        <w:t xml:space="preserve"> </w:t>
      </w:r>
      <w:r>
        <w:t xml:space="preserve">-mahārājādhirāja- ⬦</w:t>
      </w:r>
      <w:r>
        <w:t xml:space="preserve"> </w:t>
      </w:r>
      <w:r>
        <w:rPr>
          <w:rStyle w:val="ColorGreen"/>
          <w:i/>
          <w:iCs/>
        </w:rPr>
        <w:t xml:space="preserve">-mahārājādhirāja⟨ḥ⟩</w:t>
      </w:r>
      <w:r>
        <w:t xml:space="preserve"> </w:t>
      </w:r>
      <w:r>
        <w:t xml:space="preserve">MDS • Also an insignificant detail, but this title is used without a nominative ending in many related grants.</w:t>
      </w:r>
    </w:p>
    <w:p>
      <w:pPr>
        <w:pStyle w:val="BodyText"/>
      </w:pPr>
      <w:r>
        <w:rPr>
          <w:rStyle w:val="ColorGray"/>
        </w:rPr>
        <w:t xml:space="preserve">⟨15⟩</w:t>
      </w:r>
      <w:r>
        <w:t xml:space="preserve"> </w:t>
      </w:r>
      <w:r>
        <w:t xml:space="preserve">Udaka-pūrvva⟨ṁ⟩ datt</w:t>
      </w:r>
      <w:r>
        <w:rPr>
          <w:rStyle w:val="ColorRed"/>
        </w:rPr>
        <w:t xml:space="preserve">¿ā?</w:t>
      </w:r>
      <w:r>
        <w:rPr>
          <w:rStyle w:val="ColorGreen"/>
        </w:rPr>
        <w:t xml:space="preserve">⟨aṁ⟩</w:t>
      </w:r>
      <w:r>
        <w:t xml:space="preserve"> </w:t>
      </w:r>
      <w:r>
        <w:t xml:space="preserve">⬦</w:t>
      </w:r>
      <w:r>
        <w:t xml:space="preserve"> </w:t>
      </w:r>
      <w:r>
        <w:rPr>
          <w:rStyle w:val="ColorGreen"/>
          <w:i/>
          <w:iCs/>
        </w:rPr>
        <w:t xml:space="preserve">Uda⟨ka-pūrvva⟩kaṁ pūrvva- datt</w:t>
      </w:r>
      <w:r>
        <w:rPr>
          <w:rStyle w:val="ColorRed"/>
          <w:i/>
          <w:iCs/>
        </w:rPr>
        <w:t xml:space="preserve">¿ā?</w:t>
      </w:r>
      <w:r>
        <w:rPr>
          <w:rStyle w:val="ColorGreen"/>
          <w:i/>
          <w:iCs/>
        </w:rPr>
        <w:t xml:space="preserve">⟨a⟩</w:t>
      </w:r>
      <w:r>
        <w:t xml:space="preserve"> </w:t>
      </w:r>
      <w:r>
        <w:t xml:space="preserve">MDS.</w:t>
      </w:r>
    </w:p>
    <w:p>
      <w:pPr>
        <w:pStyle w:val="BodyText"/>
      </w:pPr>
      <w:r>
        <w:rPr>
          <w:rStyle w:val="ColorGray"/>
        </w:rPr>
        <w:t xml:space="preserve">⟨20⟩</w:t>
      </w:r>
      <w:r>
        <w:t xml:space="preserve"> </w:t>
      </w:r>
      <w:r>
        <w:t xml:space="preserve">Ātrayyaśa⟨r⟩mma- ⬦</w:t>
      </w:r>
      <w:r>
        <w:t xml:space="preserve"> </w:t>
      </w:r>
      <w:r>
        <w:rPr>
          <w:rStyle w:val="ColorMagenta"/>
          <w:i/>
          <w:iCs/>
        </w:rPr>
        <w:t xml:space="preserve">¡Ātrayya!</w:t>
      </w:r>
      <w:r>
        <w:rPr>
          <w:rStyle w:val="ColorBlue"/>
          <w:i/>
          <w:iCs/>
        </w:rPr>
        <w:t xml:space="preserve">⟨Ātreya⟩</w:t>
      </w:r>
      <w:r>
        <w:rPr>
          <w:rStyle w:val="ColorGreen"/>
          <w:i/>
          <w:iCs/>
        </w:rPr>
        <w:t xml:space="preserve">śa⟨r⟩mma-</w:t>
      </w:r>
      <w:r>
        <w:t xml:space="preserve"> </w:t>
      </w:r>
      <w:r>
        <w:t xml:space="preserve">MDS • I prefer not to emend the name.</w:t>
      </w:r>
    </w:p>
    <w:p>
      <w:pPr>
        <w:pStyle w:val="Heading1"/>
      </w:pPr>
      <w:r>
        <w:t xml:space="preserve">Translation</w:t>
      </w:r>
    </w:p>
    <w:p>
      <w:pPr>
        <w:pStyle w:val="FirstParagraph"/>
      </w:pPr>
      <w:r>
        <w:rPr>
          <w:rStyle w:val="ColorGray"/>
        </w:rPr>
        <w:t xml:space="preserve">⟨1–15⟩</w:t>
      </w:r>
      <w:r>
        <w:t xml:space="preserve"> </w:t>
      </w:r>
      <w:r>
        <w:t xml:space="preserve">Greetings. The grandson of His Majesty King (</w:t>
      </w:r>
      <w:r>
        <w:rPr>
          <w:i/>
          <w:iCs/>
        </w:rPr>
        <w:t xml:space="preserve">mahārāja</w:t>
      </w:r>
      <w:r>
        <w:t xml:space="preserve">) Viṣṇuvardhana (III) who acquired glory in diverse battles and who was eager to adorn the lineage of the majestic Calukyas—who are of the Mānavya</w:t>
      </w:r>
      <w:r>
        <w:t xml:space="preserve"> </w:t>
      </w:r>
      <w:r>
        <w:rPr>
          <w:i/>
          <w:iCs/>
        </w:rPr>
        <w:t xml:space="preserve">gotra</w:t>
      </w:r>
      <w:r>
        <w:t xml:space="preserve"> </w:t>
      </w:r>
      <w:r>
        <w:t xml:space="preserve">which is praised by the entire world, who are sons of Hāritī,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the dear son of His Majesty King (</w:t>
      </w:r>
      <w:r>
        <w:rPr>
          <w:i/>
          <w:iCs/>
        </w:rPr>
        <w:t xml:space="preserve">mahārāja</w:t>
      </w:r>
      <w:r>
        <w:t xml:space="preserve">) Vijayāditya (I), shelter of the entire universe (</w:t>
      </w:r>
      <w:r>
        <w:rPr>
          <w:i/>
          <w:iCs/>
        </w:rPr>
        <w:t xml:space="preserve">samasta-bhuvanāśraya</w:t>
      </w:r>
      <w:r>
        <w:t xml:space="preserve">), whose pair of feet are tinted by the hues of the rays from the many gems fitted to the surfaces of the crowns of enemy kings, whose body has been purified by the donation of gold weighed in many a balance scale:</w:t>
      </w:r>
      <w:r>
        <w:rPr>
          <w:rStyle w:val="FootnoteReference"/>
        </w:rPr>
        <w:footnoteReference w:id="12"/>
      </w:r>
      <w:r>
        <w:t xml:space="preserve"> </w:t>
      </w:r>
      <w:r>
        <w:t xml:space="preserve">⟨namely⟩ His Majesty the supremely pious Supreme Lord (</w:t>
      </w:r>
      <w:r>
        <w:rPr>
          <w:i/>
          <w:iCs/>
        </w:rPr>
        <w:t xml:space="preserve">parameśvara</w:t>
      </w:r>
      <w:r>
        <w:t xml:space="preserve">), the Emperor (</w:t>
      </w:r>
      <w:r>
        <w:rPr>
          <w:i/>
          <w:iCs/>
        </w:rPr>
        <w:t xml:space="preserve">mahārājādhirāja</w:t>
      </w:r>
      <w:r>
        <w:t xml:space="preserve">) and Sovereign (</w:t>
      </w:r>
      <w:r>
        <w:rPr>
          <w:i/>
          <w:iCs/>
        </w:rPr>
        <w:t xml:space="preserve">bhaṭṭāraka</w:t>
      </w:r>
      <w:r>
        <w:t xml:space="preserve">) Viṣṇuvardhana (IV), shelter of all the world (</w:t>
      </w:r>
      <w:r>
        <w:rPr>
          <w:i/>
          <w:iCs/>
        </w:rPr>
        <w:t xml:space="preserve">sarva-lokāśraya</w:t>
      </w:r>
      <w:r>
        <w:t xml:space="preserve">), who was deliberately appointed ⟨as heir⟩ by his mother and father, thoroughly surpassing the virtues of his father, endowed with power (</w:t>
      </w:r>
      <w:r>
        <w:rPr>
          <w:i/>
          <w:iCs/>
        </w:rPr>
        <w:t xml:space="preserve">śakti</w:t>
      </w:r>
      <w:r>
        <w:t xml:space="preserve">), competently protecting his subjects, commands all householders (</w:t>
      </w:r>
      <w:r>
        <w:rPr>
          <w:i/>
          <w:iCs/>
        </w:rPr>
        <w:t xml:space="preserve">kuṭumbin</w:t>
      </w:r>
      <w:r>
        <w:t xml:space="preserve">)—including foremost the territorial overseers (</w:t>
      </w:r>
      <w:r>
        <w:rPr>
          <w:i/>
          <w:iCs/>
        </w:rPr>
        <w:t xml:space="preserve">rāṣṭrakūṭa</w:t>
      </w:r>
      <w:r>
        <w:t xml:space="preserve">)—who reside in the village named Ḻūḷā in Gudavadi district (</w:t>
      </w:r>
      <w:r>
        <w:rPr>
          <w:i/>
          <w:iCs/>
        </w:rPr>
        <w:t xml:space="preserve">viṣaya</w:t>
      </w:r>
      <w:r>
        <w:t xml:space="preserve">) as follows.</w:t>
      </w:r>
    </w:p>
    <w:p>
      <w:pPr>
        <w:pStyle w:val="BodyText"/>
      </w:pPr>
      <w:r>
        <w:rPr>
          <w:rStyle w:val="ColorGray"/>
        </w:rPr>
        <w:t xml:space="preserve">⟨15–23⟩</w:t>
      </w:r>
      <w:r>
        <w:t xml:space="preserve"> </w:t>
      </w:r>
      <w:r>
        <w:t xml:space="preserve">Let it be known to you that to Sarvaśarman, a resident of Karaceṟu of the Taittirīya school, belonging to the Āpastamba</w:t>
      </w:r>
      <w:r>
        <w:t xml:space="preserve"> </w:t>
      </w:r>
      <w:r>
        <w:rPr>
          <w:i/>
          <w:iCs/>
        </w:rPr>
        <w:t xml:space="preserve">sūtra</w:t>
      </w:r>
      <w:r>
        <w:t xml:space="preserve"> </w:t>
      </w:r>
      <w:r>
        <w:t xml:space="preserve">and the Ātreya</w:t>
      </w:r>
      <w:r>
        <w:t xml:space="preserve"> </w:t>
      </w:r>
      <w:r>
        <w:rPr>
          <w:i/>
          <w:iCs/>
        </w:rPr>
        <w:t xml:space="preserve">gotra</w:t>
      </w:r>
      <w:r>
        <w:t xml:space="preserve">, who is thoroughly learned in the Veda and Vedāṅga, the grandson of Vasiśarman and son of Mādiśarman, we have given on the occasion of an eclipse of the sun, ⟨the donation being⟩ sanctified by (a libation of) water, a field of an extent (sufficient for sowing) twelve</w:t>
      </w:r>
      <w:r>
        <w:t xml:space="preserve"> </w:t>
      </w:r>
      <w:r>
        <w:rPr>
          <w:i/>
          <w:iCs/>
        </w:rPr>
        <w:t xml:space="preserve">khaṇḍika</w:t>
      </w:r>
      <w:r>
        <w:t xml:space="preserve">s of</w:t>
      </w:r>
      <w:r>
        <w:t xml:space="preserve"> </w:t>
      </w:r>
      <w:r>
        <w:rPr>
          <w:i/>
          <w:iCs/>
        </w:rPr>
        <w:t xml:space="preserve">kodrava</w:t>
      </w:r>
      <w:r>
        <w:t xml:space="preserve"> </w:t>
      </w:r>
      <w:r>
        <w:t xml:space="preserve">seed. ⟨Its boundaries are⟩ to the east, the field of Ātrayyaśarman. To the south, the border of Koṟikiyaṟi. To the west, the river Godavārī. To the north, the field of Borisabo. It is situated in the midst of these ⟨boundaries⟩. Having been exempted from all taxes.</w:t>
      </w:r>
    </w:p>
    <w:p>
      <w:pPr>
        <w:pStyle w:val="BodyText"/>
      </w:pPr>
      <w:r>
        <w:t xml:space="preserve">1.</w:t>
      </w:r>
    </w:p>
    <w:p>
      <w:pPr>
        <w:pStyle w:val="BodyText"/>
      </w:pPr>
      <w:r>
        <w:t xml:space="preserve">The virtuous and disciplined executor (</w:t>
      </w:r>
      <w:r>
        <w:rPr>
          <w:i/>
          <w:iCs/>
        </w:rPr>
        <w:t xml:space="preserve">ājñapti</w:t>
      </w:r>
      <w:r>
        <w:t xml:space="preserve">) of this provision (</w:t>
      </w:r>
      <w:r>
        <w:rPr>
          <w:i/>
          <w:iCs/>
        </w:rPr>
        <w:t xml:space="preserve">dharma</w:t>
      </w:r>
      <w:r>
        <w:t xml:space="preserve">) is known in this world as Jayarūpa and is fond of lawfulness (</w:t>
      </w:r>
      <w:r>
        <w:rPr>
          <w:i/>
          <w:iCs/>
        </w:rPr>
        <w:t xml:space="preserve">dharma</w:t>
      </w:r>
      <w:r>
        <w:t xml:space="preserve">). Let no-one pose an obstacle (to the enjoyment of rights) over it. He who does so shall be conjoined with the five great sins. Vyāsa too has said:</w:t>
      </w:r>
    </w:p>
    <w:p>
      <w:pPr>
        <w:pStyle w:val="BodyText"/>
      </w:pPr>
      <w:r>
        <w:rPr>
          <w:rStyle w:val="ColorGray"/>
        </w:rPr>
        <w:t xml:space="preserve">⟨25–26⟩</w:t>
      </w:r>
      <w:r>
        <w:t xml:space="preserve"> </w:t>
      </w:r>
      <w:r>
        <w:t xml:space="preserve">Let no-one pose an obstacle (to the enjoyment of rights) over it. He who does so shall be conjoined with the five great sins. Vyāsa too has said:</w:t>
      </w:r>
    </w:p>
    <w:p>
      <w:pPr>
        <w:pStyle w:val="BodyText"/>
      </w:pPr>
      <w:r>
        <w:t xml:space="preserve">2.</w:t>
      </w:r>
    </w:p>
    <w:p>
      <w:pPr>
        <w:pStyle w:val="BodyText"/>
      </w:pPr>
      <w:r>
        <w:t xml:space="preserve">Many (kings) have granted land, and many have preserved it (as formerly granted). Whosoever at any time owns the land, the fruit {reward (accrued of granting it)} belongs to him at that time.</w:t>
      </w:r>
    </w:p>
    <w:p>
      <w:pPr>
        <w:pStyle w:val="Heading1"/>
      </w:pPr>
      <w:r>
        <w:t xml:space="preserve">Bibliography</w:t>
      </w:r>
    </w:p>
    <w:p>
      <w:pPr>
        <w:pStyle w:val="FirstParagraph"/>
      </w:pPr>
      <w:r>
        <w:t xml:space="preserve">Reported in ARIE 1946–47, p. 6, appendix A/1946-47, № 6 with discussion at ARIE 1946–47, p. 1. Reportedly (Sampath 1996, p. 170) published by Subramanyam (no other name available) in the</w:t>
      </w:r>
      <w:r>
        <w:t xml:space="preserve"> </w:t>
      </w:r>
      <w:r>
        <w:rPr>
          <w:i/>
          <w:iCs/>
        </w:rPr>
        <w:t xml:space="preserve">Journal of Andhra History and Culture</w:t>
      </w:r>
      <w:r>
        <w:t xml:space="preserve">, Vol. II, No. 4, Jan 1945, pp. 109-105 (not traced). Edited, perhaps from the original, by M. D. Sampath (1996), without facsimiles or translation. The present edition by Dániel Balogh is based on estampages preserved at the ASI, Mysore, collated with Sampath’s edition. Minor errors in Sampath’s edition, presumed to be typos and silent normalisations, are not indicated in the apparatus. Metadata associated with this edition have been published separately in Balogh 2026, available on</w:t>
      </w:r>
      <w:r>
        <w:t xml:space="preserve"> </w:t>
      </w:r>
      <w:hyperlink r:id="rId13">
        <w:r>
          <w:rPr>
            <w:rStyle w:val="Hyperlink"/>
          </w:rPr>
          <w:t xml:space="preserve">Zenodo</w:t>
        </w:r>
      </w:hyperlink>
      <w:r>
        <w:t xml:space="preserve">.</w:t>
      </w:r>
    </w:p>
    <w:p>
      <w:pPr>
        <w:pStyle w:val="Heading2"/>
      </w:pPr>
      <w:r>
        <w:t xml:space="preserve">Primary</w:t>
      </w:r>
    </w:p>
    <w:p>
      <w:pPr>
        <w:pStyle w:val="FirstParagraph"/>
      </w:pPr>
      <w:r>
        <w:rPr>
          <w:b/>
          <w:bCs/>
        </w:rPr>
        <w:t xml:space="preserve">[MDS]</w:t>
      </w:r>
      <w:r>
        <w:t xml:space="preserve"> </w:t>
      </w:r>
      <w:r>
        <w:t xml:space="preserve">Sampath, M. D. 1996. “Lūḷā grant of Vishṇuvardhana.” In:</w:t>
      </w:r>
      <w:r>
        <w:t xml:space="preserve"> </w:t>
      </w:r>
      <w:r>
        <w:rPr>
          <w:i/>
          <w:iCs/>
        </w:rPr>
        <w:t xml:space="preserve">Gauravaṁ: Recent researches in Indology (Prof. B. K. Gururaja Rao felicitation volume)</w:t>
      </w:r>
      <w:r>
        <w:t xml:space="preserve">. Edited by K. V. Ramesh, V. Shivananda, M. D. Sampath &amp; L. N. Swamy. New Delhi: Harman, pp. 170–174.</w:t>
      </w:r>
    </w:p>
    <w:p>
      <w:pPr>
        <w:pStyle w:val="Heading2"/>
      </w:pPr>
      <w:r>
        <w:t xml:space="preserve">Secondary</w:t>
      </w:r>
    </w:p>
    <w:p>
      <w:pPr>
        <w:pStyle w:val="FirstParagraph"/>
      </w:pPr>
      <w:r>
        <w:t xml:space="preserve">ARIE 1946–47.</w:t>
      </w:r>
      <w:r>
        <w:t xml:space="preserve"> </w:t>
      </w:r>
      <w:r>
        <w:rPr>
          <w:i/>
          <w:iCs/>
        </w:rPr>
        <w:t xml:space="preserve">Annual report on Indian epigraphy for 1946-47</w:t>
      </w:r>
      <w:r>
        <w:t xml:space="preserve">. Edited by Bahadur Chand Chhabra. Delhi: Manager of Publications (Department of Archaeology).</w:t>
      </w:r>
    </w:p>
    <w:p>
      <w:pPr>
        <w:pStyle w:val="BodyText"/>
      </w:pPr>
      <w:r>
        <w:t xml:space="preserve">Balogh, Dániel. 2026. “Metadata for the DHARMA editions of Veṅgī Cālukya copper plates.” Zenodo. DOI:</w:t>
      </w:r>
      <w:r>
        <w:t xml:space="preserve"> </w:t>
      </w:r>
      <w:hyperlink r:id="rId14">
        <w:r>
          <w:rPr>
            <w:rStyle w:val="Hyperlink"/>
          </w:rPr>
          <w:t xml:space="preserve">10.5281/zenodo.22827003</w:t>
        </w:r>
      </w:hyperlink>
      <w:r>
        <w:t xml:space="preserve">.</w:t>
      </w:r>
      <w:r>
        <w:t xml:space="preserve"> </w:t>
      </w:r>
      <w:hyperlink r:id="rId13">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That is, gold weighed on a scale against his body, the</w:t>
      </w:r>
      <w:r>
        <w:t xml:space="preserve"> </w:t>
      </w:r>
      <w:r>
        <w:rPr>
          <w:i/>
          <w:iCs/>
        </w:rPr>
        <w:t xml:space="preserve">tulāpuruṣa mahādāna</w:t>
      </w:r>
      <w: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VengiCalukya00084" TargetMode="External" /><Relationship Type="http://schemas.openxmlformats.org/officeDocument/2006/relationships/hyperlink" Id="rId11" Target="https://dharmalekha.info/texts/INSVengiCalukya00105" TargetMode="External" /><Relationship Type="http://schemas.openxmlformats.org/officeDocument/2006/relationships/hyperlink" Id="rId14" Target="https://doi.org/10.5281/zenodo.22827003" TargetMode="External" /><Relationship Type="http://schemas.openxmlformats.org/officeDocument/2006/relationships/hyperlink" Id="rId13"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VengiCalukya00084" TargetMode="External" /><Relationship Type="http://schemas.openxmlformats.org/officeDocument/2006/relationships/hyperlink" Id="rId11" Target="https://dharmalekha.info/texts/INSVengiCalukya00105" TargetMode="External" /><Relationship Type="http://schemas.openxmlformats.org/officeDocument/2006/relationships/hyperlink" Id="rId14" Target="https://doi.org/10.5281/zenodo.22827003" TargetMode="External" /><Relationship Type="http://schemas.openxmlformats.org/officeDocument/2006/relationships/hyperlink" Id="rId13"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Ḻūḷā grant of Viṣṇuvardhana IV</dc:title>
  <dc:creator>Dániel Balogh</dc:creator>
  <cp:keywords/>
  <dcterms:created xsi:type="dcterms:W3CDTF">2026-10-26T20:55:49Z</dcterms:created>
  <dcterms:modified xsi:type="dcterms:W3CDTF">2026-10-26T20:55:49Z</dcterms:modified>
</cp:coreProperties>
</file>

<file path=docProps/custom.xml><?xml version="1.0" encoding="utf-8"?>
<Properties xmlns="http://schemas.openxmlformats.org/officeDocument/2006/custom-properties" xmlns:vt="http://schemas.openxmlformats.org/officeDocument/2006/docPropsVTypes"/>
</file>