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Candavolu plates of Vijayāditya III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DHARMA_INSVengiCalukya00068</w:t>
      </w:r>
    </w:p>
    <w:p>
      <w:pPr>
        <w:pStyle w:val="BodyText"/>
      </w:pPr>
      <w:r>
        <w:t xml:space="preserve">Repository: Eastern Cālukya (tfb-vengicalukya-epigraphy)</w:t>
      </w:r>
    </w:p>
    <w:p>
      <w:pPr>
        <w:pStyle w:val="BodyText"/>
      </w:pPr>
      <w:r>
        <w:t xml:space="preserve">File path: xml/DHARMA_INSVengiCalukya00068.xml</w:t>
      </w:r>
    </w:p>
    <w:p>
      <w:pPr>
        <w:pStyle w:val="BodyText"/>
      </w:pPr>
      <w:r>
        <w:t xml:space="preserve">Languages: Sanskrit [Southern Brāhmī (unspecified)], Telugu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N in line 21 is essentially identical to a na, raised above normal height.</w:t>
      </w:r>
    </w:p>
    <w:p>
      <w:pPr>
        <w:pStyle w:val="BodyText"/>
      </w:pPr>
      <w:r>
        <w:t xml:space="preserve">Original punctuation marks.</w:t>
      </w:r>
    </w:p>
    <w:p>
      <w:pPr>
        <w:pStyle w:val="BodyText"/>
      </w:pPr>
      <w:r>
        <w:t xml:space="preserve">Other palaeographic observations. Anusvāra is above the character to which it belongs, or above headline to the right of that character; occasionally atop the next character, e.g. l13 kuṭuṁbinaḥ within the i marker. Short and long i/ī are not clearly distinguishable, but i seems to be a closed circle while ī appears to be open on the left, with a little hook at the opening; e.g. sti and śrī side by side in line 1; śī in line 5 is good example of the long ī. Headmarks are large horizontal lines with small horns on each side. According to Sampath’s discussion, the dependent ā is in most cases indicated by a thick dot. I see no dot identifiable as an ā in the plates (only dots that seem to function as ornamental serifs at the ends of some lines), but do read an (incorrect) a in several spots where Sampath reads a (correct) ā. He does not, however, seem to be consistent in this: he reads e.g. svāmi in l2 where I read svami and a dot is present at the top right; however, he - like me - reads paripalitānāṁ earlier in the same line (though an identical dot is present on both instances of pa), and he reads pādanudhyatānāṁ (where I read padanudhyatānāṁ) in the next line, where a dot is present on both pa and dhya.</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w:t>
      </w:r>
      <w:r>
        <w:rPr>
          <w:rStyle w:val="ColorRed"/>
        </w:rPr>
        <w:t xml:space="preserve">¿ā?</w:t>
      </w:r>
      <w:r>
        <w:rPr>
          <w:rStyle w:val="ColorGreen"/>
        </w:rPr>
        <w:t xml:space="preserve">⟨a⟩</w:t>
      </w:r>
      <w:r>
        <w:t xml:space="preserve">tāṁ sakala-bhuvana-saṁst</w:t>
      </w:r>
      <w:r>
        <w:rPr>
          <w:rStyle w:val="ColorRed"/>
        </w:rPr>
        <w:t xml:space="preserve">¿u?</w:t>
      </w:r>
      <w:r>
        <w:rPr>
          <w:rStyle w:val="ColorGreen"/>
        </w:rPr>
        <w:t xml:space="preserve">⟨ū⟩</w:t>
      </w:r>
      <w:r>
        <w:t xml:space="preserve">yamāna-mā</w:t>
      </w:r>
      <w:r>
        <w:rPr>
          <w:rStyle w:val="ColorGray"/>
        </w:rPr>
        <w:t xml:space="preserve">⟨2⟩</w:t>
      </w:r>
      <w:r>
        <w:t xml:space="preserve">navya-sagotrāṇāṁ h</w:t>
      </w:r>
      <w:r>
        <w:rPr>
          <w:rStyle w:val="ColorMagenta"/>
        </w:rPr>
        <w:t xml:space="preserve">¡a!</w:t>
      </w:r>
      <w:r>
        <w:t xml:space="preserve">rīti-putrāṇāṁ k(au)śikī-vara-pra⟨sā⟩da-la</w:t>
      </w:r>
      <w:r>
        <w:rPr>
          <w:rStyle w:val="ColorGray"/>
        </w:rPr>
        <w:t xml:space="preserve">⟨3⟩</w:t>
      </w:r>
      <w:r>
        <w:t xml:space="preserve">bdha-r</w:t>
      </w:r>
      <w:r>
        <w:rPr>
          <w:rStyle w:val="ColorRed"/>
        </w:rPr>
        <w:t xml:space="preserve">¿a?</w:t>
      </w:r>
      <w:r>
        <w:rPr>
          <w:rStyle w:val="ColorGreen"/>
        </w:rPr>
        <w:t xml:space="preserve">⟨ā⟩</w:t>
      </w:r>
      <w:r>
        <w:t xml:space="preserve">◯jy(ā)nāṁ</w:t>
      </w:r>
      <w:r>
        <w:t xml:space="preserve"> </w:t>
      </w:r>
      <w:r>
        <w:rPr>
          <w:rStyle w:val="ColorRed"/>
        </w:rPr>
        <w:t xml:space="preserve">¿rmma?</w:t>
      </w:r>
      <w:r>
        <w:rPr>
          <w:rStyle w:val="ColorGreen"/>
        </w:rPr>
        <w:t xml:space="preserve">⟨mā⟩</w:t>
      </w:r>
      <w:r>
        <w:t xml:space="preserve">tr̥-gaṇa-p(a)rip</w:t>
      </w:r>
      <w:r>
        <w:rPr>
          <w:rStyle w:val="ColorRed"/>
        </w:rPr>
        <w:t xml:space="preserve">¿a?</w:t>
      </w:r>
      <w:r>
        <w:rPr>
          <w:rStyle w:val="ColorGreen"/>
        </w:rPr>
        <w:t xml:space="preserve">⟨ā⟩</w:t>
      </w:r>
      <w:r>
        <w:t xml:space="preserve">litānā⟨ṁ⟩ sv</w:t>
      </w:r>
      <w:r>
        <w:rPr>
          <w:rStyle w:val="ColorRed"/>
        </w:rPr>
        <w:t xml:space="preserve">¿a?</w:t>
      </w:r>
      <w:r>
        <w:rPr>
          <w:rStyle w:val="ColorGreen"/>
        </w:rPr>
        <w:t xml:space="preserve">⟨ā⟩</w:t>
      </w:r>
      <w:r>
        <w:t xml:space="preserve">mi-mahā</w:t>
      </w:r>
      <w:r>
        <w:rPr>
          <w:rStyle w:val="ColorGray"/>
        </w:rPr>
        <w:t xml:space="preserve">⟨4⟩</w:t>
      </w:r>
      <w:r>
        <w:t xml:space="preserve">sena-p</w:t>
      </w:r>
      <w:r>
        <w:rPr>
          <w:rStyle w:val="ColorRed"/>
        </w:rPr>
        <w:t xml:space="preserve">¿a?</w:t>
      </w:r>
      <w:r>
        <w:rPr>
          <w:rStyle w:val="ColorGreen"/>
        </w:rPr>
        <w:t xml:space="preserve">⟨ā⟩</w:t>
      </w:r>
      <w:r>
        <w:t xml:space="preserve">d</w:t>
      </w:r>
      <w:r>
        <w:rPr>
          <w:rStyle w:val="ColorRed"/>
        </w:rPr>
        <w:t xml:space="preserve">¿a?</w:t>
      </w:r>
      <w:r>
        <w:rPr>
          <w:rStyle w:val="ColorGreen"/>
        </w:rPr>
        <w:t xml:space="preserve">⟨ā⟩</w:t>
      </w:r>
      <w:r>
        <w:t xml:space="preserve">nudhy</w:t>
      </w:r>
      <w:r>
        <w:rPr>
          <w:rStyle w:val="ColorRed"/>
        </w:rPr>
        <w:t xml:space="preserve">¿a?</w:t>
      </w:r>
      <w:r>
        <w:rPr>
          <w:rStyle w:val="ColorGreen"/>
        </w:rPr>
        <w:t xml:space="preserve">⟨ā⟩</w:t>
      </w:r>
      <w:r>
        <w:t xml:space="preserve">tānā⟨ṁ⟩ bhagavan-nārāyaṇa-pras(ā)da-sa</w:t>
      </w:r>
      <w:r>
        <w:rPr>
          <w:rStyle w:val="ColorGray"/>
        </w:rPr>
        <w:t xml:space="preserve">⟨5⟩</w:t>
      </w:r>
      <w:r>
        <w:t xml:space="preserve">māsādita-vara-varāha-lāñ</w:t>
      </w:r>
      <w:r>
        <w:rPr>
          <w:rStyle w:val="ColorRed"/>
        </w:rPr>
        <w:t xml:space="preserve">¿c?</w:t>
      </w:r>
      <w:r>
        <w:rPr>
          <w:rStyle w:val="ColorGreen"/>
        </w:rPr>
        <w:t xml:space="preserve">⟨ch⟩</w:t>
      </w:r>
      <w:r>
        <w:t xml:space="preserve">anekṣaṇa-kṣaṇa-vaśīkr̥</w:t>
      </w:r>
      <w:r>
        <w:rPr>
          <w:rStyle w:val="ColorGray"/>
        </w:rPr>
        <w:t xml:space="preserve">⟨Page 2r⟩</w:t>
      </w:r>
      <w:r>
        <w:rPr>
          <w:rStyle w:val="ColorGray"/>
        </w:rPr>
        <w:t xml:space="preserve">⟨6⟩</w:t>
      </w:r>
      <w:r>
        <w:t xml:space="preserve">tārāti-maṇḍalān</w:t>
      </w:r>
      <w:r>
        <w:rPr>
          <w:rStyle w:val="ColorRed"/>
        </w:rPr>
        <w:t xml:space="preserve">¿a?</w:t>
      </w:r>
      <w:r>
        <w:rPr>
          <w:rStyle w:val="ColorGreen"/>
        </w:rPr>
        <w:t xml:space="preserve">⟨ā⟩</w:t>
      </w:r>
      <w:r>
        <w:t xml:space="preserve">m aśvamedh</w:t>
      </w:r>
      <w:r>
        <w:rPr>
          <w:rStyle w:val="ColorRed"/>
        </w:rPr>
        <w:t xml:space="preserve">¿a?</w:t>
      </w:r>
      <w:r>
        <w:rPr>
          <w:rStyle w:val="ColorGreen"/>
        </w:rPr>
        <w:t xml:space="preserve">⟨ā⟩</w:t>
      </w:r>
      <w:r>
        <w:t xml:space="preserve">vabhr̥tha-snā⟨na⟩-pavitrīkr̥</w:t>
      </w:r>
      <w:r>
        <w:rPr>
          <w:rStyle w:val="ColorGray"/>
        </w:rPr>
        <w:t xml:space="preserve">⟨7⟩</w:t>
      </w:r>
      <w:r>
        <w:t xml:space="preserve">ta-vapuṣāṁ caḷ(u)kyānāṁ kulam a</w:t>
      </w:r>
      <w:r>
        <w:rPr>
          <w:rStyle w:val="ColorRed"/>
        </w:rPr>
        <w:t xml:space="preserve">¿ṁla?</w:t>
      </w:r>
      <w:r>
        <w:rPr>
          <w:rStyle w:val="ColorGreen"/>
        </w:rPr>
        <w:t xml:space="preserve">⟨laṁ⟩</w:t>
      </w:r>
      <w:r>
        <w:t xml:space="preserve">kariṣṇoḥ Aneka-sama</w:t>
      </w:r>
      <w:r>
        <w:rPr>
          <w:rStyle w:val="ColorGray"/>
        </w:rPr>
        <w:t xml:space="preserve">⟨8⟩</w:t>
      </w:r>
      <w:r>
        <w:t xml:space="preserve">ra◯-saṁghaṭṭano⟨pa⟩(la)bdha-vijayasya vi(ṣṇ)uvarddhana-mah(ā)</w:t>
      </w:r>
      <w:r>
        <w:rPr>
          <w:rStyle w:val="ColorGray"/>
        </w:rPr>
        <w:t xml:space="preserve">⟨9⟩</w:t>
      </w:r>
      <w:r>
        <w:t xml:space="preserve">rājasya priya-tanayaḥ vijay</w:t>
      </w:r>
      <w:r>
        <w:rPr>
          <w:rStyle w:val="ColorRed"/>
        </w:rPr>
        <w:t xml:space="preserve">¿a?</w:t>
      </w:r>
      <w:r>
        <w:rPr>
          <w:rStyle w:val="ColorGreen"/>
        </w:rPr>
        <w:t xml:space="preserve">⟨ā⟩</w:t>
      </w:r>
      <w:r>
        <w:t xml:space="preserve">ditya-mahārājasya pau(t)ra⟨ḥ⟩</w:t>
      </w:r>
      <w:r>
        <w:rPr>
          <w:rStyle w:val="ColorGray"/>
        </w:rPr>
        <w:t xml:space="preserve"> </w:t>
      </w:r>
      <w:r>
        <w:rPr>
          <w:rStyle w:val="ColorGray"/>
        </w:rPr>
        <w:t xml:space="preserve">⟨10⟩</w:t>
      </w:r>
      <w:r>
        <w:rPr>
          <w:rStyle w:val="ColorGray"/>
        </w:rPr>
        <w:t xml:space="preserve"> </w:t>
      </w:r>
      <w:r>
        <w:t xml:space="preserve">merur iva śaṁsita-mitro(d)ayaḥ (śā)</w:t>
      </w:r>
      <w:r>
        <w:rPr>
          <w:rStyle w:val="ColorRed"/>
        </w:rPr>
        <w:t xml:space="preserve">¿ggiḥ?</w:t>
      </w:r>
      <w:r>
        <w:rPr>
          <w:rStyle w:val="ColorGreen"/>
        </w:rPr>
        <w:t xml:space="preserve">⟨rṅgī⟩</w:t>
      </w:r>
      <w:r>
        <w:t xml:space="preserve">(vā)rā(t)</w:t>
      </w:r>
      <w:r>
        <w:rPr>
          <w:rStyle w:val="ColorRed"/>
        </w:rPr>
        <w:t xml:space="preserve">¿ī?</w:t>
      </w:r>
      <w:r>
        <w:rPr>
          <w:rStyle w:val="ColorGreen"/>
        </w:rPr>
        <w:t xml:space="preserve">⟨i⟩</w:t>
      </w:r>
      <w:r>
        <w:t xml:space="preserve">-(bh)</w:t>
      </w:r>
      <w:r>
        <w:rPr>
          <w:rStyle w:val="ColorRed"/>
        </w:rPr>
        <w:t xml:space="preserve">¿i?</w:t>
      </w:r>
      <w:r>
        <w:rPr>
          <w:rStyle w:val="ColorGreen"/>
        </w:rPr>
        <w:t xml:space="preserve">⟨ī⟩</w:t>
      </w:r>
      <w:r>
        <w:t xml:space="preserve">(t)ī-(kr̥ta)</w:t>
      </w:r>
      <w:r>
        <w:rPr>
          <w:rStyle w:val="ColorGray"/>
        </w:rPr>
        <w:t xml:space="preserve">⟨Page 2v⟩</w:t>
      </w:r>
      <w:r>
        <w:rPr>
          <w:rStyle w:val="ColorGray"/>
        </w:rPr>
        <w:t xml:space="preserve">⟨11⟩</w:t>
      </w:r>
      <w:r>
        <w:t xml:space="preserve">-cakraḥ jalanidhir iva lakṣmī-(p)r(abha)v(aḥ) vijay(ā)di(t)ya-mahārā</w:t>
      </w:r>
      <w:r>
        <w:rPr>
          <w:rStyle w:val="ColorGray"/>
        </w:rPr>
        <w:t xml:space="preserve">⟨12⟩</w:t>
      </w:r>
      <w:r>
        <w:t xml:space="preserve">jādhirāja-parameśvara-bhaṭṭ</w:t>
      </w:r>
      <w:r>
        <w:rPr>
          <w:rStyle w:val="ColorRed"/>
        </w:rPr>
        <w:t xml:space="preserve">¿a?</w:t>
      </w:r>
      <w:r>
        <w:rPr>
          <w:rStyle w:val="ColorGreen"/>
        </w:rPr>
        <w:t xml:space="preserve">⟨ā⟩</w:t>
      </w:r>
      <w:r>
        <w:t xml:space="preserve">rakaḥ gudrav</w:t>
      </w:r>
      <w:r>
        <w:rPr>
          <w:rStyle w:val="ColorMagenta"/>
        </w:rPr>
        <w:t xml:space="preserve">¡a!</w:t>
      </w:r>
      <w:r>
        <w:t xml:space="preserve">ra-viṣ</w:t>
      </w:r>
      <w:r>
        <w:rPr>
          <w:rStyle w:val="ColorRed"/>
        </w:rPr>
        <w:t xml:space="preserve">¿e?</w:t>
      </w:r>
      <w:r>
        <w:rPr>
          <w:rStyle w:val="ColorGreen"/>
        </w:rPr>
        <w:t xml:space="preserve">⟨a⟩</w:t>
      </w:r>
      <w:r>
        <w:t xml:space="preserve">ya-v</w:t>
      </w:r>
      <w:r>
        <w:rPr>
          <w:rStyle w:val="ColorRed"/>
        </w:rPr>
        <w:t xml:space="preserve">¿a?</w:t>
      </w:r>
      <w:r>
        <w:rPr>
          <w:rStyle w:val="ColorGreen"/>
        </w:rPr>
        <w:t xml:space="preserve">⟨ā⟩</w:t>
      </w:r>
      <w:r>
        <w:t xml:space="preserve">sin</w:t>
      </w:r>
      <w:r>
        <w:rPr>
          <w:rStyle w:val="ColorRed"/>
        </w:rPr>
        <w:t xml:space="preserve">¿a?</w:t>
      </w:r>
      <w:r>
        <w:rPr>
          <w:rStyle w:val="ColorGreen"/>
        </w:rPr>
        <w:t xml:space="preserve">⟨o⟩</w:t>
      </w:r>
      <w:r>
        <w:rPr>
          <w:rStyle w:val="ColorGray"/>
        </w:rPr>
        <w:t xml:space="preserve"> </w:t>
      </w:r>
      <w:r>
        <w:rPr>
          <w:rStyle w:val="ColorGray"/>
        </w:rPr>
        <w:t xml:space="preserve">⟨13⟩</w:t>
      </w:r>
      <w:r>
        <w:rPr>
          <w:rStyle w:val="ColorGray"/>
        </w:rPr>
        <w:t xml:space="preserve"> </w:t>
      </w:r>
      <w:r>
        <w:t xml:space="preserve">(rā)◯ṣṭrak</w:t>
      </w:r>
      <w:r>
        <w:rPr>
          <w:rStyle w:val="ColorRed"/>
        </w:rPr>
        <w:t xml:space="preserve">¿u?</w:t>
      </w:r>
      <w:r>
        <w:rPr>
          <w:rStyle w:val="ColorGreen"/>
        </w:rPr>
        <w:t xml:space="preserve">⟨ū⟩</w:t>
      </w:r>
      <w:r>
        <w:t xml:space="preserve">ṭa-pramu(kh)ān kuṭuṁbinaḥ sarvv</w:t>
      </w:r>
      <w:r>
        <w:rPr>
          <w:rStyle w:val="ColorRed"/>
        </w:rPr>
        <w:t xml:space="preserve">¿a?</w:t>
      </w:r>
      <w:r>
        <w:rPr>
          <w:rStyle w:val="ColorGreen"/>
        </w:rPr>
        <w:t xml:space="preserve">⟨ā⟩</w:t>
      </w:r>
      <w:r>
        <w:t xml:space="preserve">n ittham (ājñā)paya</w:t>
      </w:r>
      <w:r>
        <w:rPr>
          <w:rStyle w:val="ColorGray"/>
        </w:rPr>
        <w:t xml:space="preserve">⟨14⟩</w:t>
      </w:r>
      <w:r>
        <w:t xml:space="preserve">ti ◯</w:t>
      </w:r>
    </w:p>
    <w:p>
      <w:pPr>
        <w:pStyle w:val="BodyText"/>
      </w:pPr>
      <w:r>
        <w:t xml:space="preserve">viditam astu (v)o ⟨’⟩sm</w:t>
      </w:r>
      <w:r>
        <w:rPr>
          <w:rStyle w:val="ColorRed"/>
        </w:rPr>
        <w:t xml:space="preserve">¿a?</w:t>
      </w:r>
      <w:r>
        <w:rPr>
          <w:rStyle w:val="ColorGreen"/>
        </w:rPr>
        <w:t xml:space="preserve">⟨ā⟩</w:t>
      </w:r>
      <w:r>
        <w:t xml:space="preserve">bhir dv</w:t>
      </w:r>
      <w:r>
        <w:rPr>
          <w:rStyle w:val="ColorRed"/>
        </w:rPr>
        <w:t xml:space="preserve">¿a?</w:t>
      </w:r>
      <w:r>
        <w:rPr>
          <w:rStyle w:val="ColorGreen"/>
        </w:rPr>
        <w:t xml:space="preserve">⟨i⟩</w:t>
      </w:r>
      <w:r>
        <w:t xml:space="preserve">ja-(v)</w:t>
      </w:r>
      <w:r>
        <w:rPr>
          <w:rStyle w:val="ColorMagenta"/>
        </w:rPr>
        <w:t xml:space="preserve">¡ri!</w:t>
      </w:r>
      <w:r>
        <w:rPr>
          <w:rStyle w:val="ColorBlue"/>
        </w:rPr>
        <w:t xml:space="preserve">⟨r̥⟩</w:t>
      </w:r>
      <w:r>
        <w:t xml:space="preserve">(nd)āra(ka){ḥ}sya kr(o)va</w:t>
      </w:r>
      <w:r>
        <w:rPr>
          <w:rStyle w:val="ColorGray"/>
        </w:rPr>
        <w:t xml:space="preserve">⟨15⟩</w:t>
      </w:r>
      <w:r>
        <w:t xml:space="preserve">(śi?)ri-(vāsta)vyā(ya ku)ppaśarmmaṇaḥ pautrāya bandh</w:t>
      </w:r>
      <w:r>
        <w:rPr>
          <w:rStyle w:val="ColorRed"/>
        </w:rPr>
        <w:t xml:space="preserve">¿a?</w:t>
      </w:r>
      <w:r>
        <w:rPr>
          <w:rStyle w:val="ColorGreen"/>
        </w:rPr>
        <w:t xml:space="preserve">⟨u⟩</w:t>
      </w:r>
      <w:r>
        <w:t xml:space="preserve">śarmmaṇa(ḥ) pu</w:t>
      </w:r>
      <w:r>
        <w:rPr>
          <w:rStyle w:val="ColorGray"/>
        </w:rPr>
        <w:t xml:space="preserve">⟨16⟩</w:t>
      </w:r>
      <w:r>
        <w:t xml:space="preserve">t(r)</w:t>
      </w:r>
      <w:r>
        <w:rPr>
          <w:rStyle w:val="ColorRed"/>
        </w:rPr>
        <w:t xml:space="preserve">¿a?</w:t>
      </w:r>
      <w:r>
        <w:rPr>
          <w:rStyle w:val="ColorGreen"/>
        </w:rPr>
        <w:t xml:space="preserve">⟨ā⟩</w:t>
      </w:r>
      <w:r>
        <w:t xml:space="preserve">(ya) [bh](āra)dv</w:t>
      </w:r>
      <w:r>
        <w:rPr>
          <w:rStyle w:val="ColorRed"/>
        </w:rPr>
        <w:t xml:space="preserve">¿a?</w:t>
      </w:r>
      <w:r>
        <w:rPr>
          <w:rStyle w:val="ColorGreen"/>
        </w:rPr>
        <w:t xml:space="preserve">⟨ā⟩</w:t>
      </w:r>
      <w:r>
        <w:t xml:space="preserve">ja-gotrāya yajñaśarmmaṇe Āpastam</w:t>
      </w:r>
      <w:r>
        <w:rPr>
          <w:rStyle w:val="ColorMagenta"/>
        </w:rPr>
        <w:t xml:space="preserve">¡bh!</w:t>
      </w:r>
      <w:r>
        <w:rPr>
          <w:rStyle w:val="ColorBlue"/>
        </w:rPr>
        <w:t xml:space="preserve">⟨b⟩</w:t>
      </w:r>
      <w:r>
        <w:t xml:space="preserve">a-s(ūtrā)</w:t>
      </w:r>
      <w:r>
        <w:rPr>
          <w:rStyle w:val="ColorGray"/>
        </w:rPr>
        <w:t xml:space="preserve">⟨Page 3r⟩</w:t>
      </w:r>
      <w:r>
        <w:rPr>
          <w:rStyle w:val="ColorGray"/>
        </w:rPr>
        <w:t xml:space="preserve">⟨17⟩</w:t>
      </w:r>
      <w:r>
        <w:t xml:space="preserve">ya [A?](dh)īt(a-ve)(dā?)(ya) magā(va?)(ḍ)u (nāma g)r</w:t>
      </w:r>
      <w:r>
        <w:rPr>
          <w:rStyle w:val="ColorRed"/>
        </w:rPr>
        <w:t xml:space="preserve">¿a?</w:t>
      </w:r>
      <w:r>
        <w:rPr>
          <w:rStyle w:val="ColorGreen"/>
        </w:rPr>
        <w:t xml:space="preserve">⟨ā⟩</w:t>
      </w:r>
      <w:r>
        <w:t xml:space="preserve">me (daśa-ka)(ṇḍ?)(ika)-(vrī?)[hi?]</w:t>
      </w:r>
      <w:r>
        <w:rPr>
          <w:rStyle w:val="ColorGray"/>
        </w:rPr>
        <w:t xml:space="preserve">⟨18⟩</w:t>
      </w:r>
      <w:r>
        <w:t xml:space="preserve">-[bī?](ja?)-(vāpa-pramāṇaṁ kṣe)⟨traṁ⟩ (p)radatta(ṁ)</w:t>
      </w:r>
    </w:p>
    <w:p>
      <w:pPr>
        <w:pStyle w:val="BodyText"/>
      </w:pPr>
      <w:r>
        <w:t xml:space="preserve">tasyāvadhaya⟨ḥ⟩⟨.⟩ p(ū)rvvataḥ</w:t>
      </w:r>
      <w:r>
        <w:t xml:space="preserve"> </w:t>
      </w:r>
      <w:r>
        <w:rPr>
          <w:i/>
          <w:iCs/>
        </w:rPr>
        <w:t xml:space="preserve">kapp(u)</w:t>
      </w:r>
      <w:r>
        <w:rPr>
          <w:rStyle w:val="ColorGray"/>
          <w:i/>
          <w:iCs/>
        </w:rPr>
        <w:t xml:space="preserve">⟨19⟩</w:t>
      </w:r>
      <w:r>
        <w:rPr>
          <w:i/>
          <w:iCs/>
        </w:rPr>
        <w:t xml:space="preserve">-(ṟe?)◯(ni-ce)nu</w:t>
      </w:r>
      <w:r>
        <w:t xml:space="preserve">⟨.⟩ dakṣiṇata⟨ḥ⟩</w:t>
      </w:r>
      <w:r>
        <w:t xml:space="preserve"> </w:t>
      </w:r>
      <w:r>
        <w:rPr>
          <w:i/>
          <w:iCs/>
        </w:rPr>
        <w:t xml:space="preserve">ceṟu(ka)ni-cenu</w:t>
      </w:r>
      <w:r>
        <w:t xml:space="preserve">⟨.⟩ (paś)c(i)ma(taḥ)</w:t>
      </w:r>
      <w:r>
        <w:t xml:space="preserve"> </w:t>
      </w:r>
      <w:r>
        <w:rPr>
          <w:i/>
          <w:iCs/>
        </w:rPr>
        <w:t xml:space="preserve">(b)o(ḷ)u</w:t>
      </w:r>
      <w:r>
        <w:rPr>
          <w:rStyle w:val="ColorGray"/>
          <w:i/>
          <w:iCs/>
        </w:rPr>
        <w:t xml:space="preserve">⟨20⟩</w:t>
      </w:r>
      <w:r>
        <w:rPr>
          <w:i/>
          <w:iCs/>
        </w:rPr>
        <w:t xml:space="preserve">[ca. 1×]◯na-bo(y)u-cenu</w:t>
      </w:r>
      <w:r>
        <w:t xml:space="preserve">⟨.⟩ Uttarata(ḥ)</w:t>
      </w:r>
      <w:r>
        <w:t xml:space="preserve"> </w:t>
      </w:r>
      <w:r>
        <w:rPr>
          <w:i/>
          <w:iCs/>
        </w:rPr>
        <w:t xml:space="preserve">raṭṭoḍi-cenu</w:t>
      </w:r>
      <w:r>
        <w:t xml:space="preserve">⟨.⟩ Eteṣ</w:t>
      </w:r>
      <w:r>
        <w:rPr>
          <w:rStyle w:val="ColorRed"/>
        </w:rPr>
        <w:t xml:space="preserve">¿a?</w:t>
      </w:r>
      <w:r>
        <w:rPr>
          <w:rStyle w:val="ColorGreen"/>
        </w:rPr>
        <w:t xml:space="preserve">⟨ā⟩</w:t>
      </w:r>
      <w:r>
        <w:t xml:space="preserve">m madhya</w:t>
      </w:r>
      <w:r>
        <w:rPr>
          <w:rStyle w:val="ColorGray"/>
        </w:rPr>
        <w:t xml:space="preserve">⟨21⟩</w:t>
      </w:r>
      <w:r>
        <w:t xml:space="preserve">[va](rttī)</w:t>
      </w:r>
    </w:p>
    <w:p>
      <w:pPr>
        <w:pStyle w:val="BodyText"/>
      </w:pPr>
      <w:r>
        <w:t xml:space="preserve">1.</w:t>
      </w:r>
      <w:r>
        <w:t xml:space="preserve"> </w:t>
      </w:r>
      <w:hyperlink r:id="rId9">
        <w:r>
          <w:rPr>
            <w:rStyle w:val="Hyperlink"/>
          </w:rPr>
          <w:t xml:space="preserve">Śālinī</w:t>
        </w:r>
      </w:hyperlink>
    </w:p>
    <w:p>
      <w:pPr>
        <w:pStyle w:val="BodyText"/>
      </w:pPr>
      <w:r>
        <w:t xml:space="preserve">(sar)vv(ā)n eva⟨ṁ⟩ bh</w:t>
      </w:r>
      <w:r>
        <w:rPr>
          <w:rStyle w:val="ColorRed"/>
        </w:rPr>
        <w:t xml:space="preserve">¿a?</w:t>
      </w:r>
      <w:r>
        <w:rPr>
          <w:rStyle w:val="ColorGreen"/>
        </w:rPr>
        <w:t xml:space="preserve">⟨ā⟩</w:t>
      </w:r>
      <w:r>
        <w:t xml:space="preserve">vina(ḥ p)</w:t>
      </w:r>
      <w:r>
        <w:rPr>
          <w:rStyle w:val="ColorRed"/>
        </w:rPr>
        <w:t xml:space="preserve">¿(a)?</w:t>
      </w:r>
      <w:r>
        <w:rPr>
          <w:rStyle w:val="ColorGreen"/>
        </w:rPr>
        <w:t xml:space="preserve">⟨ā⟩</w:t>
      </w:r>
      <w:r>
        <w:t xml:space="preserve">(r)t</w:t>
      </w:r>
      <w:r>
        <w:rPr>
          <w:rStyle w:val="ColorRed"/>
        </w:rPr>
        <w:t xml:space="preserve">¿t?</w:t>
      </w:r>
      <w:r>
        <w:rPr>
          <w:rStyle w:val="ColorGreen"/>
        </w:rPr>
        <w:t xml:space="preserve">⟨th⟩</w:t>
      </w:r>
      <w:r>
        <w:t xml:space="preserve">(i)vendr</w:t>
      </w:r>
      <w:r>
        <w:rPr>
          <w:rStyle w:val="ColorRed"/>
        </w:rPr>
        <w:t xml:space="preserve">¿a?</w:t>
      </w:r>
      <w:r>
        <w:rPr>
          <w:rStyle w:val="ColorGreen"/>
        </w:rPr>
        <w:t xml:space="preserve">⟨ā⟩</w:t>
      </w:r>
      <w:r>
        <w:t xml:space="preserve">N</w:t>
      </w:r>
      <w:r>
        <w:br/>
      </w:r>
      <w:r>
        <w:t xml:space="preserve">bh</w:t>
      </w:r>
      <w:r>
        <w:rPr>
          <w:rStyle w:val="ColorRed"/>
        </w:rPr>
        <w:t xml:space="preserve">¿u?</w:t>
      </w:r>
      <w:r>
        <w:rPr>
          <w:rStyle w:val="ColorGreen"/>
        </w:rPr>
        <w:t xml:space="preserve">⟨ū⟩</w:t>
      </w:r>
      <w:r>
        <w:t xml:space="preserve">(yo) bh</w:t>
      </w:r>
      <w:r>
        <w:rPr>
          <w:rStyle w:val="ColorRed"/>
        </w:rPr>
        <w:t xml:space="preserve">¿u?</w:t>
      </w:r>
      <w:r>
        <w:rPr>
          <w:rStyle w:val="ColorGreen"/>
        </w:rPr>
        <w:t xml:space="preserve">⟨ū⟩</w:t>
      </w:r>
      <w:r>
        <w:t xml:space="preserve">(y)o y(ā)⟨ca⟩(te) r(āmabha)</w:t>
      </w:r>
      <w:r>
        <w:rPr>
          <w:rStyle w:val="ColorGray"/>
        </w:rPr>
        <w:t xml:space="preserve">⟨22⟩</w:t>
      </w:r>
      <w:r>
        <w:t xml:space="preserve">draḥ</w:t>
      </w:r>
      <w:r>
        <w:br/>
      </w:r>
      <w:r>
        <w:t xml:space="preserve">sām</w:t>
      </w:r>
      <w:r>
        <w:rPr>
          <w:rStyle w:val="ColorRed"/>
        </w:rPr>
        <w:t xml:space="preserve">¿a?</w:t>
      </w:r>
      <w:r>
        <w:rPr>
          <w:rStyle w:val="ColorGreen"/>
        </w:rPr>
        <w:t xml:space="preserve">⟨ā⟩</w:t>
      </w:r>
      <w:r>
        <w:t xml:space="preserve">nyo ⟨’⟩ya(ṁ) dharmma-(s)etu(r) nr̥p(ā)</w:t>
      </w:r>
      <w:r>
        <w:rPr>
          <w:rStyle w:val="ColorRed"/>
        </w:rPr>
        <w:t xml:space="preserve">¿na?</w:t>
      </w:r>
      <w:r>
        <w:rPr>
          <w:rStyle w:val="ColorGreen"/>
        </w:rPr>
        <w:t xml:space="preserve">⟨ṇā⟩</w:t>
      </w:r>
      <w:r>
        <w:t xml:space="preserve">(ṁ)</w:t>
      </w:r>
      <w:r>
        <w:br/>
      </w:r>
      <w:r>
        <w:t xml:space="preserve">k(āle kāle pālanī)⟨yo⟩ (bha?)va(dbhi?)⟨ḥ⟩</w:t>
      </w:r>
    </w:p>
    <w:p>
      <w:pPr>
        <w:pStyle w:val="BodyText"/>
      </w:pPr>
      <w:r>
        <w:t xml:space="preserve">1.</w:t>
      </w:r>
      <w:r>
        <w:t xml:space="preserve"> </w:t>
      </w:r>
      <w:hyperlink r:id="rId10">
        <w:r>
          <w:rPr>
            <w:rStyle w:val="Hyperlink"/>
          </w:rPr>
          <w:t xml:space="preserve">Anuṣṭubh</w:t>
        </w:r>
      </w:hyperlink>
    </w:p>
    <w:p>
      <w:pPr>
        <w:pStyle w:val="BodyText"/>
      </w:pPr>
      <w:r>
        <w:rPr>
          <w:rStyle w:val="ColorGray"/>
        </w:rPr>
        <w:t xml:space="preserve">⟨Page 3v⟩</w:t>
      </w:r>
      <w:r>
        <w:rPr>
          <w:rStyle w:val="ColorGray"/>
        </w:rPr>
        <w:t xml:space="preserve">⟨23⟩</w:t>
      </w:r>
      <w:r>
        <w:t xml:space="preserve">(Ājñaptir a)sya dha(r)mmasya</w:t>
      </w:r>
      <w:r>
        <w:br/>
      </w:r>
      <w:r>
        <w:t xml:space="preserve">pa(ṇḍa)ra(ṁ)go (g)u(ṇā)</w:t>
      </w:r>
      <w:r>
        <w:rPr>
          <w:rStyle w:val="ColorRed"/>
        </w:rPr>
        <w:t xml:space="preserve">¿(kh)?</w:t>
      </w:r>
      <w:r>
        <w:rPr>
          <w:rStyle w:val="ColorGreen"/>
        </w:rPr>
        <w:t xml:space="preserve">⟨k⟩</w:t>
      </w:r>
      <w:r>
        <w:t xml:space="preserve">(araḥ)</w:t>
      </w:r>
      <w:r>
        <w:br/>
      </w:r>
      <w:r>
        <w:t xml:space="preserve">(vijayāditya)</w:t>
      </w:r>
      <w:r>
        <w:rPr>
          <w:rStyle w:val="ColorGray"/>
        </w:rPr>
        <w:t xml:space="preserve">⟨24⟩</w:t>
      </w:r>
      <w:r>
        <w:t xml:space="preserve">-(bhūpa)⟨sya⟩</w:t>
      </w:r>
      <w:r>
        <w:br/>
      </w:r>
      <w:r>
        <w:t xml:space="preserve">(pāda-padma-śilīmu)</w:t>
      </w:r>
      <w:r>
        <w:rPr>
          <w:rStyle w:val="ColorRed"/>
        </w:rPr>
        <w:t xml:space="preserve">¿(k)?</w:t>
      </w:r>
      <w:r>
        <w:rPr>
          <w:rStyle w:val="ColorGreen"/>
        </w:rPr>
        <w:t xml:space="preserve">⟨kh⟩</w:t>
      </w:r>
      <w:r>
        <w:t xml:space="preserve">(aḥ)</w:t>
      </w:r>
    </w:p>
    <w:p>
      <w:pPr>
        <w:pStyle w:val="Heading1"/>
      </w:pPr>
      <w:r>
        <w:t xml:space="preserve">Apparatus</w:t>
      </w:r>
    </w:p>
    <w:p>
      <w:pPr>
        <w:pStyle w:val="Heading2"/>
      </w:pPr>
      <w:r>
        <w:t xml:space="preserve">Plates</w:t>
      </w:r>
    </w:p>
    <w:p>
      <w:pPr>
        <w:pStyle w:val="FirstParagraph"/>
      </w:pPr>
      <w:r>
        <w:rPr>
          <w:rStyle w:val="ColorGray"/>
        </w:rPr>
        <w:t xml:space="preserve">⟨1⟩</w:t>
      </w:r>
      <w:r>
        <w:t xml:space="preserve"> </w:t>
      </w:r>
      <w:r>
        <w:t xml:space="preserve">-saṁst</w:t>
      </w:r>
      <w:r>
        <w:rPr>
          <w:rStyle w:val="ColorRed"/>
        </w:rPr>
        <w:t xml:space="preserve">¿u?</w:t>
      </w:r>
      <w:r>
        <w:rPr>
          <w:rStyle w:val="ColorGreen"/>
        </w:rPr>
        <w:t xml:space="preserve">⟨ū⟩</w:t>
      </w:r>
      <w:r>
        <w:t xml:space="preserve">yamāna- ⬦</w:t>
      </w:r>
      <w:r>
        <w:t xml:space="preserve"> </w:t>
      </w:r>
      <w:r>
        <w:rPr>
          <w:rStyle w:val="ColorGreen"/>
          <w:i/>
          <w:iCs/>
        </w:rPr>
        <w:t xml:space="preserve">-saṁstūyamāna-</w:t>
      </w:r>
      <w:r>
        <w:t xml:space="preserve"> </w:t>
      </w:r>
      <w:r>
        <w:t xml:space="preserve">MDS.</w:t>
      </w:r>
    </w:p>
    <w:p>
      <w:pPr>
        <w:pStyle w:val="BodyText"/>
      </w:pPr>
      <w:r>
        <w:rPr>
          <w:rStyle w:val="ColorGray"/>
        </w:rPr>
        <w:t xml:space="preserve">⟨3⟩</w:t>
      </w:r>
      <w:r>
        <w:t xml:space="preserve"> </w:t>
      </w:r>
      <w:r>
        <w:rPr>
          <w:rStyle w:val="ColorRed"/>
        </w:rPr>
        <w:t xml:space="preserve">¿rmma?</w:t>
      </w:r>
      <w:r>
        <w:rPr>
          <w:rStyle w:val="ColorGreen"/>
        </w:rPr>
        <w:t xml:space="preserve">⟨mā⟩</w:t>
      </w:r>
      <w:r>
        <w:t xml:space="preserve">tr̥- ⬦</w:t>
      </w:r>
      <w:r>
        <w:t xml:space="preserve"> </w:t>
      </w:r>
      <w:r>
        <w:rPr>
          <w:rStyle w:val="ColorGreen"/>
          <w:i/>
          <w:iCs/>
        </w:rPr>
        <w:t xml:space="preserve">mātr̥-</w:t>
      </w:r>
      <w:r>
        <w:t xml:space="preserve"> </w:t>
      </w:r>
      <w:r>
        <w:t xml:space="preserve">MDS. —</w:t>
      </w:r>
      <w:r>
        <w:t xml:space="preserve"> </w:t>
      </w:r>
      <w:r>
        <w:rPr>
          <w:rStyle w:val="ColorGray"/>
        </w:rPr>
        <w:t xml:space="preserve">⟨3⟩</w:t>
      </w:r>
      <w:r>
        <w:t xml:space="preserve"> </w:t>
      </w:r>
      <w:r>
        <w:t xml:space="preserve">sv</w:t>
      </w:r>
      <w:r>
        <w:rPr>
          <w:rStyle w:val="ColorRed"/>
        </w:rPr>
        <w:t xml:space="preserve">¿a?</w:t>
      </w:r>
      <w:r>
        <w:rPr>
          <w:rStyle w:val="ColorGreen"/>
        </w:rPr>
        <w:t xml:space="preserve">⟨ā⟩</w:t>
      </w:r>
      <w:r>
        <w:t xml:space="preserve">mi- ⬦</w:t>
      </w:r>
      <w:r>
        <w:t xml:space="preserve"> </w:t>
      </w:r>
      <w:r>
        <w:rPr>
          <w:rStyle w:val="ColorGreen"/>
          <w:i/>
          <w:iCs/>
        </w:rPr>
        <w:t xml:space="preserve">svā(mi)-</w:t>
      </w:r>
      <w:r>
        <w:t xml:space="preserve"> </w:t>
      </w:r>
      <w:r>
        <w:t xml:space="preserve">MDS.</w:t>
      </w:r>
    </w:p>
    <w:p>
      <w:pPr>
        <w:pStyle w:val="BodyText"/>
      </w:pPr>
      <w:r>
        <w:rPr>
          <w:rStyle w:val="ColorGray"/>
        </w:rPr>
        <w:t xml:space="preserve">⟨4⟩</w:t>
      </w:r>
      <w:r>
        <w:t xml:space="preserve"> </w:t>
      </w:r>
      <w:r>
        <w:t xml:space="preserve">p</w:t>
      </w:r>
      <w:r>
        <w:rPr>
          <w:rStyle w:val="ColorRed"/>
        </w:rPr>
        <w:t xml:space="preserve">¿a?</w:t>
      </w:r>
      <w:r>
        <w:rPr>
          <w:rStyle w:val="ColorGreen"/>
        </w:rPr>
        <w:t xml:space="preserve">⟨ā⟩</w:t>
      </w:r>
      <w:r>
        <w:t xml:space="preserve">d</w:t>
      </w:r>
      <w:r>
        <w:rPr>
          <w:rStyle w:val="ColorRed"/>
        </w:rPr>
        <w:t xml:space="preserve">¿a?</w:t>
      </w:r>
      <w:r>
        <w:rPr>
          <w:rStyle w:val="ColorGreen"/>
        </w:rPr>
        <w:t xml:space="preserve">⟨ā⟩</w:t>
      </w:r>
      <w:r>
        <w:t xml:space="preserve">nudhy</w:t>
      </w:r>
      <w:r>
        <w:rPr>
          <w:rStyle w:val="ColorRed"/>
        </w:rPr>
        <w:t xml:space="preserve">¿a?</w:t>
      </w:r>
      <w:r>
        <w:rPr>
          <w:rStyle w:val="ColorGreen"/>
        </w:rPr>
        <w:t xml:space="preserve">⟨ā⟩</w:t>
      </w:r>
      <w:r>
        <w:t xml:space="preserve">tānā⟨ṁ⟩ ⬦</w:t>
      </w:r>
      <w:r>
        <w:t xml:space="preserve"> </w:t>
      </w:r>
      <w:r>
        <w:rPr>
          <w:rStyle w:val="ColorGreen"/>
          <w:i/>
          <w:iCs/>
        </w:rPr>
        <w:t xml:space="preserve">pād</w:t>
      </w:r>
      <w:r>
        <w:rPr>
          <w:rStyle w:val="ColorRed"/>
          <w:i/>
          <w:iCs/>
        </w:rPr>
        <w:t xml:space="preserve">¿a?</w:t>
      </w:r>
      <w:r>
        <w:rPr>
          <w:rStyle w:val="ColorGreen"/>
          <w:i/>
          <w:iCs/>
        </w:rPr>
        <w:t xml:space="preserve">⟨ā⟩</w:t>
      </w:r>
      <w:r>
        <w:rPr>
          <w:rStyle w:val="ColorGreen"/>
          <w:i/>
          <w:iCs/>
        </w:rPr>
        <w:t xml:space="preserve">nudhy</w:t>
      </w:r>
      <w:r>
        <w:rPr>
          <w:rStyle w:val="ColorRed"/>
          <w:i/>
          <w:iCs/>
        </w:rPr>
        <w:t xml:space="preserve">¿a?</w:t>
      </w:r>
      <w:r>
        <w:rPr>
          <w:rStyle w:val="ColorGreen"/>
          <w:i/>
          <w:iCs/>
        </w:rPr>
        <w:t xml:space="preserve">⟨ā⟩</w:t>
      </w:r>
      <w:r>
        <w:rPr>
          <w:rStyle w:val="ColorGreen"/>
          <w:i/>
          <w:iCs/>
        </w:rPr>
        <w:t xml:space="preserve">tānā⟨ṁ⟩</w:t>
      </w:r>
      <w:r>
        <w:t xml:space="preserve"> </w:t>
      </w:r>
      <w:r>
        <w:t xml:space="preserve">MDS. —</w:t>
      </w:r>
      <w:r>
        <w:t xml:space="preserve"> </w:t>
      </w:r>
      <w:r>
        <w:rPr>
          <w:rStyle w:val="ColorGray"/>
        </w:rPr>
        <w:t xml:space="preserve">⟨4⟩</w:t>
      </w:r>
      <w:r>
        <w:t xml:space="preserve"> </w:t>
      </w:r>
      <w:r>
        <w:t xml:space="preserve">aśvamedh</w:t>
      </w:r>
      <w:r>
        <w:rPr>
          <w:rStyle w:val="ColorRed"/>
        </w:rPr>
        <w:t xml:space="preserve">¿a?</w:t>
      </w:r>
      <w:r>
        <w:rPr>
          <w:rStyle w:val="ColorGreen"/>
        </w:rPr>
        <w:t xml:space="preserve">⟨ā⟩</w:t>
      </w:r>
      <w:r>
        <w:t xml:space="preserve">vabhr̥tha- ⬦</w:t>
      </w:r>
      <w:r>
        <w:t xml:space="preserve"> </w:t>
      </w:r>
      <w:r>
        <w:rPr>
          <w:rStyle w:val="ColorGreen"/>
          <w:i/>
          <w:iCs/>
        </w:rPr>
        <w:t xml:space="preserve">aśvamedhāvabhr̥tha-</w:t>
      </w:r>
      <w:r>
        <w:t xml:space="preserve"> </w:t>
      </w:r>
      <w:r>
        <w:t xml:space="preserve">MDS.</w:t>
      </w:r>
    </w:p>
    <w:p>
      <w:pPr>
        <w:pStyle w:val="BodyText"/>
      </w:pPr>
      <w:r>
        <w:rPr>
          <w:rStyle w:val="ColorGray"/>
        </w:rPr>
        <w:t xml:space="preserve">⟨7⟩</w:t>
      </w:r>
      <w:r>
        <w:t xml:space="preserve"> </w:t>
      </w:r>
      <w:r>
        <w:t xml:space="preserve">caḷ(u)kyānāṁ ⬦</w:t>
      </w:r>
      <w:r>
        <w:t xml:space="preserve"> </w:t>
      </w:r>
      <w:r>
        <w:rPr>
          <w:rStyle w:val="ColorGreen"/>
          <w:i/>
          <w:iCs/>
        </w:rPr>
        <w:t xml:space="preserve">calukyānāṁ</w:t>
      </w:r>
      <w:r>
        <w:t xml:space="preserve"> </w:t>
      </w:r>
      <w:r>
        <w:t xml:space="preserve">MDS • MDS’s</w:t>
      </w:r>
      <w:r>
        <w:t xml:space="preserve"> </w:t>
      </w:r>
      <w:r>
        <w:rPr>
          <w:i/>
          <w:iCs/>
        </w:rPr>
        <w:t xml:space="preserve">l</w:t>
      </w:r>
      <w:r>
        <w:t xml:space="preserve"> </w:t>
      </w:r>
      <w:r>
        <w:t xml:space="preserve">must be a typo. The vowel of</w:t>
      </w:r>
      <w:r>
        <w:t xml:space="preserve"> </w:t>
      </w:r>
      <w:r>
        <w:rPr>
          <w:i/>
          <w:iCs/>
        </w:rPr>
        <w:t xml:space="preserve">ḷ</w:t>
      </w:r>
      <w:r>
        <w:t xml:space="preserve"> </w:t>
      </w:r>
      <w:r>
        <w:t xml:space="preserve">may be</w:t>
      </w:r>
      <w:r>
        <w:t xml:space="preserve"> </w:t>
      </w:r>
      <w:r>
        <w:rPr>
          <w:i/>
          <w:iCs/>
        </w:rPr>
        <w:t xml:space="preserve">ū</w:t>
      </w:r>
      <w:r>
        <w:t xml:space="preserve">, or the engraver may have started engraving</w:t>
      </w:r>
      <w:r>
        <w:t xml:space="preserve"> </w:t>
      </w:r>
      <w:r>
        <w:rPr>
          <w:i/>
          <w:iCs/>
        </w:rPr>
        <w:t xml:space="preserve">ḷya</w:t>
      </w:r>
      <w:r>
        <w:t xml:space="preserve"> </w:t>
      </w:r>
      <w:r>
        <w:t xml:space="preserve">and then corrected.</w:t>
      </w:r>
    </w:p>
    <w:p>
      <w:pPr>
        <w:pStyle w:val="BodyText"/>
      </w:pPr>
      <w:r>
        <w:rPr>
          <w:rStyle w:val="ColorGray"/>
        </w:rPr>
        <w:t xml:space="preserve">⟨8⟩</w:t>
      </w:r>
      <w:r>
        <w:t xml:space="preserve"> </w:t>
      </w:r>
      <w:r>
        <w:t xml:space="preserve">-saṁghaṭṭano⟨pa⟩(la)bdha- • In the script of the plates,</w:t>
      </w:r>
      <w:r>
        <w:t xml:space="preserve"> </w:t>
      </w:r>
      <w:r>
        <w:rPr>
          <w:i/>
          <w:iCs/>
        </w:rPr>
        <w:t xml:space="preserve">ṇa</w:t>
      </w:r>
      <w:r>
        <w:t xml:space="preserve"> </w:t>
      </w:r>
      <w:r>
        <w:t xml:space="preserve">is practically indistinguishable from</w:t>
      </w:r>
      <w:r>
        <w:t xml:space="preserve"> </w:t>
      </w:r>
      <w:r>
        <w:rPr>
          <w:i/>
          <w:iCs/>
        </w:rPr>
        <w:t xml:space="preserve">no</w:t>
      </w:r>
      <w:r>
        <w:t xml:space="preserve">. I accept MDS’s reading (and the associated emendation) in preference of my earlier reading of</w:t>
      </w:r>
      <w:r>
        <w:t xml:space="preserve"> </w:t>
      </w:r>
      <w:r>
        <w:rPr>
          <w:i/>
          <w:iCs/>
        </w:rPr>
        <w:t xml:space="preserve">saṁghaṭṭaṇa-labdha</w:t>
      </w:r>
      <w:r>
        <w:t xml:space="preserve"> </w:t>
      </w:r>
      <w:r>
        <w:t xml:space="preserve">(for</w:t>
      </w:r>
      <w:r>
        <w:t xml:space="preserve"> </w:t>
      </w:r>
      <w:r>
        <w:rPr>
          <w:i/>
          <w:iCs/>
        </w:rPr>
        <w:t xml:space="preserve">saṁghaṭṭana-</w:t>
      </w:r>
      <w:r>
        <w:t xml:space="preserve">).</w:t>
      </w:r>
    </w:p>
    <w:p>
      <w:pPr>
        <w:pStyle w:val="BodyText"/>
      </w:pPr>
      <w:r>
        <w:rPr>
          <w:rStyle w:val="ColorGray"/>
        </w:rPr>
        <w:t xml:space="preserve">⟨10⟩</w:t>
      </w:r>
      <w:r>
        <w:t xml:space="preserve"> </w:t>
      </w:r>
      <w:r>
        <w:t xml:space="preserve">śaṁsita- ⬦</w:t>
      </w:r>
      <w:r>
        <w:t xml:space="preserve"> </w:t>
      </w:r>
      <w:r>
        <w:rPr>
          <w:rStyle w:val="ColorGreen"/>
          <w:i/>
          <w:iCs/>
        </w:rPr>
        <w:t xml:space="preserve">śaṁstita-</w:t>
      </w:r>
      <w:r>
        <w:t xml:space="preserve"> </w:t>
      </w:r>
      <w:r>
        <w:t xml:space="preserve">MDS • Probably a typo in MDS. —</w:t>
      </w:r>
      <w:r>
        <w:t xml:space="preserve"> </w:t>
      </w:r>
      <w:r>
        <w:rPr>
          <w:rStyle w:val="ColorGray"/>
        </w:rPr>
        <w:t xml:space="preserve">⟨10⟩</w:t>
      </w:r>
      <w:r>
        <w:t xml:space="preserve"> </w:t>
      </w:r>
      <w:r>
        <w:t xml:space="preserve">(śā)</w:t>
      </w:r>
      <w:r>
        <w:rPr>
          <w:rStyle w:val="ColorRed"/>
        </w:rPr>
        <w:t xml:space="preserve">¿ggiḥ?</w:t>
      </w:r>
      <w:r>
        <w:rPr>
          <w:rStyle w:val="ColorGreen"/>
        </w:rPr>
        <w:t xml:space="preserve">⟨rṅgī⟩</w:t>
      </w:r>
      <w:r>
        <w:t xml:space="preserve">(vā)rā(t)</w:t>
      </w:r>
      <w:r>
        <w:rPr>
          <w:rStyle w:val="ColorRed"/>
        </w:rPr>
        <w:t xml:space="preserve">¿ī?</w:t>
      </w:r>
      <w:r>
        <w:rPr>
          <w:rStyle w:val="ColorGreen"/>
        </w:rPr>
        <w:t xml:space="preserve">⟨i⟩</w:t>
      </w:r>
      <w:r>
        <w:t xml:space="preserve">-(bh)</w:t>
      </w:r>
      <w:r>
        <w:rPr>
          <w:rStyle w:val="ColorRed"/>
        </w:rPr>
        <w:t xml:space="preserve">¿i?</w:t>
      </w:r>
      <w:r>
        <w:rPr>
          <w:rStyle w:val="ColorGreen"/>
        </w:rPr>
        <w:t xml:space="preserve">⟨ī⟩</w:t>
      </w:r>
      <w:r>
        <w:t xml:space="preserve">(t)ī- ⬦</w:t>
      </w:r>
      <w:r>
        <w:t xml:space="preserve"> </w:t>
      </w:r>
      <w:r>
        <w:rPr>
          <w:rStyle w:val="ColorGreen"/>
          <w:i/>
          <w:iCs/>
        </w:rPr>
        <w:t xml:space="preserve">śārṅgīvārāti-bhīti-</w:t>
      </w:r>
      <w:r>
        <w:t xml:space="preserve"> </w:t>
      </w:r>
      <w:r>
        <w:t xml:space="preserve">MDS • MDS’s reading appears to be a silent emendation. At the beginning,</w:t>
      </w:r>
      <w:r>
        <w:t xml:space="preserve"> </w:t>
      </w:r>
      <w:r>
        <w:rPr>
          <w:i/>
          <w:iCs/>
        </w:rPr>
        <w:t xml:space="preserve">śā</w:t>
      </w:r>
      <w:r>
        <w:t xml:space="preserve"> </w:t>
      </w:r>
      <w:r>
        <w:t xml:space="preserve">is clearer in his estampage than in the photos, from which alone I was unable to offer a meaningful reading for this locus. Any of the</w:t>
      </w:r>
      <w:r>
        <w:t xml:space="preserve"> </w:t>
      </w:r>
      <w:r>
        <w:rPr>
          <w:i/>
          <w:iCs/>
        </w:rPr>
        <w:t xml:space="preserve">i</w:t>
      </w:r>
      <w:r>
        <w:t xml:space="preserve">-s in this stretch may be either short or long; I read long</w:t>
      </w:r>
      <w:r>
        <w:t xml:space="preserve"> </w:t>
      </w:r>
      <w:r>
        <w:rPr>
          <w:i/>
          <w:iCs/>
        </w:rPr>
        <w:t xml:space="preserve">ī</w:t>
      </w:r>
      <w:r>
        <w:t xml:space="preserve"> </w:t>
      </w:r>
      <w:r>
        <w:t xml:space="preserve">where the loop is open on the left, but this may be random variation. The superfluous</w:t>
      </w:r>
      <w:r>
        <w:t xml:space="preserve"> </w:t>
      </w:r>
      <w:r>
        <w:rPr>
          <w:i/>
          <w:iCs/>
        </w:rPr>
        <w:t xml:space="preserve">visarga</w:t>
      </w:r>
      <w:r>
        <w:t xml:space="preserve"> </w:t>
      </w:r>
      <w:r>
        <w:t xml:space="preserve">may have been intented for an initial</w:t>
      </w:r>
      <w:r>
        <w:t xml:space="preserve"> </w:t>
      </w:r>
      <w:r>
        <w:rPr>
          <w:i/>
          <w:iCs/>
        </w:rPr>
        <w:t xml:space="preserve">I</w:t>
      </w:r>
      <w:r>
        <w:t xml:space="preserve">, but if so, it is very narrow and extremely malformed.</w:t>
      </w:r>
    </w:p>
    <w:p>
      <w:pPr>
        <w:pStyle w:val="BodyText"/>
      </w:pPr>
      <w:r>
        <w:rPr>
          <w:rStyle w:val="ColorGray"/>
        </w:rPr>
        <w:t xml:space="preserve">⟨11⟩</w:t>
      </w:r>
      <w:r>
        <w:t xml:space="preserve"> </w:t>
      </w:r>
      <w:r>
        <w:t xml:space="preserve">-cakraḥ ⬦</w:t>
      </w:r>
      <w:r>
        <w:t xml:space="preserve"> </w:t>
      </w:r>
      <w:r>
        <w:rPr>
          <w:rStyle w:val="ColorGreen"/>
          <w:i/>
          <w:iCs/>
        </w:rPr>
        <w:t xml:space="preserve">-cakro</w:t>
      </w:r>
      <w:r>
        <w:t xml:space="preserve"> </w:t>
      </w:r>
      <w:r>
        <w:t xml:space="preserve">MDS • The</w:t>
      </w:r>
      <w:r>
        <w:t xml:space="preserve"> </w:t>
      </w:r>
      <w:r>
        <w:rPr>
          <w:i/>
          <w:iCs/>
        </w:rPr>
        <w:t xml:space="preserve">visarga</w:t>
      </w:r>
      <w:r>
        <w:t xml:space="preserve"> </w:t>
      </w:r>
      <w:r>
        <w:t xml:space="preserve">is clear, though not well formed, in the photo. —</w:t>
      </w:r>
      <w:r>
        <w:t xml:space="preserve"> </w:t>
      </w:r>
      <w:r>
        <w:rPr>
          <w:rStyle w:val="ColorGray"/>
        </w:rPr>
        <w:t xml:space="preserve">⟨11⟩</w:t>
      </w:r>
      <w:r>
        <w:t xml:space="preserve"> </w:t>
      </w:r>
      <w:r>
        <w:t xml:space="preserve">-(p)r(abha)v(aḥ) ⬦</w:t>
      </w:r>
      <w:r>
        <w:t xml:space="preserve"> </w:t>
      </w:r>
      <w:r>
        <w:rPr>
          <w:rStyle w:val="ColorGreen"/>
          <w:i/>
          <w:iCs/>
        </w:rPr>
        <w:t xml:space="preserve">-pra(bhā)vaḥ</w:t>
      </w:r>
      <w:r>
        <w:t xml:space="preserve"> </w:t>
      </w:r>
      <w:r>
        <w:t xml:space="preserve">MDS. —</w:t>
      </w:r>
      <w:r>
        <w:t xml:space="preserve"> </w:t>
      </w:r>
      <w:r>
        <w:rPr>
          <w:rStyle w:val="ColorGray"/>
        </w:rPr>
        <w:t xml:space="preserve">⟨11⟩</w:t>
      </w:r>
      <w:r>
        <w:t xml:space="preserve"> </w:t>
      </w:r>
      <w:r>
        <w:t xml:space="preserve">vijay(ā)di(t)ya- ⬦</w:t>
      </w:r>
      <w:r>
        <w:t xml:space="preserve"> </w:t>
      </w:r>
      <w:r>
        <w:rPr>
          <w:rStyle w:val="ColorGreen"/>
          <w:i/>
          <w:iCs/>
        </w:rPr>
        <w:t xml:space="preserve">vijay</w:t>
      </w:r>
      <w:r>
        <w:rPr>
          <w:rStyle w:val="ColorRed"/>
          <w:i/>
          <w:iCs/>
        </w:rPr>
        <w:t xml:space="preserve">¿a?</w:t>
      </w:r>
      <w:r>
        <w:rPr>
          <w:rStyle w:val="ColorGreen"/>
          <w:i/>
          <w:iCs/>
        </w:rPr>
        <w:t xml:space="preserve">⟨ā⟩</w:t>
      </w:r>
      <w:r>
        <w:rPr>
          <w:rStyle w:val="ColorGreen"/>
          <w:i/>
          <w:iCs/>
        </w:rPr>
        <w:t xml:space="preserve">ditya-</w:t>
      </w:r>
      <w:r>
        <w:t xml:space="preserve"> </w:t>
      </w:r>
      <w:r>
        <w:t xml:space="preserve">MDS. —</w:t>
      </w:r>
      <w:r>
        <w:t xml:space="preserve"> </w:t>
      </w:r>
      <w:r>
        <w:rPr>
          <w:rStyle w:val="ColorGray"/>
        </w:rPr>
        <w:t xml:space="preserve">⟨11⟩</w:t>
      </w:r>
      <w:r>
        <w:t xml:space="preserve"> </w:t>
      </w:r>
      <w:r>
        <w:t xml:space="preserve">v</w:t>
      </w:r>
      <w:r>
        <w:rPr>
          <w:rStyle w:val="ColorRed"/>
        </w:rPr>
        <w:t xml:space="preserve">¿a?</w:t>
      </w:r>
      <w:r>
        <w:rPr>
          <w:rStyle w:val="ColorGreen"/>
        </w:rPr>
        <w:t xml:space="preserve">⟨ā⟩</w:t>
      </w:r>
      <w:r>
        <w:t xml:space="preserve">sin</w:t>
      </w:r>
      <w:r>
        <w:rPr>
          <w:rStyle w:val="ColorRed"/>
        </w:rPr>
        <w:t xml:space="preserve">¿a?</w:t>
      </w:r>
      <w:r>
        <w:rPr>
          <w:rStyle w:val="ColorGreen"/>
        </w:rPr>
        <w:t xml:space="preserve">⟨o⟩</w:t>
      </w:r>
      <w:r>
        <w:t xml:space="preserve"> </w:t>
      </w:r>
      <w:r>
        <w:t xml:space="preserve">⬦</w:t>
      </w:r>
      <w:r>
        <w:t xml:space="preserve"> </w:t>
      </w:r>
      <w:r>
        <w:rPr>
          <w:rStyle w:val="ColorGreen"/>
          <w:i/>
          <w:iCs/>
        </w:rPr>
        <w:t xml:space="preserve">vāsin</w:t>
      </w:r>
      <w:r>
        <w:rPr>
          <w:rStyle w:val="ColorRed"/>
          <w:i/>
          <w:iCs/>
        </w:rPr>
        <w:t xml:space="preserve">¿a?</w:t>
      </w:r>
      <w:r>
        <w:rPr>
          <w:rStyle w:val="ColorGreen"/>
          <w:i/>
          <w:iCs/>
        </w:rPr>
        <w:t xml:space="preserve">⟨o⟩</w:t>
      </w:r>
      <w:r>
        <w:t xml:space="preserve"> </w:t>
      </w:r>
      <w:r>
        <w:t xml:space="preserve">MDS.</w:t>
      </w:r>
    </w:p>
    <w:p>
      <w:pPr>
        <w:pStyle w:val="BodyText"/>
      </w:pPr>
      <w:r>
        <w:rPr>
          <w:rStyle w:val="ColorGray"/>
        </w:rPr>
        <w:t xml:space="preserve">⟨13⟩</w:t>
      </w:r>
      <w:r>
        <w:t xml:space="preserve"> </w:t>
      </w:r>
      <w:r>
        <w:t xml:space="preserve">(rā)◯ṣṭrak</w:t>
      </w:r>
      <w:r>
        <w:rPr>
          <w:rStyle w:val="ColorRed"/>
        </w:rPr>
        <w:t xml:space="preserve">¿u?</w:t>
      </w:r>
      <w:r>
        <w:rPr>
          <w:rStyle w:val="ColorGreen"/>
        </w:rPr>
        <w:t xml:space="preserve">⟨ū⟩</w:t>
      </w:r>
      <w:r>
        <w:t xml:space="preserve">ṭa- ⬦</w:t>
      </w:r>
      <w:r>
        <w:t xml:space="preserve"> </w:t>
      </w:r>
      <w:r>
        <w:rPr>
          <w:rStyle w:val="ColorGreen"/>
          <w:i/>
          <w:iCs/>
        </w:rPr>
        <w:t xml:space="preserve">rāṣṭrakūṭā-</w:t>
      </w:r>
      <w:r>
        <w:t xml:space="preserve"> </w:t>
      </w:r>
      <w:r>
        <w:t xml:space="preserve">MDS.</w:t>
      </w:r>
    </w:p>
    <w:p>
      <w:pPr>
        <w:pStyle w:val="BodyText"/>
      </w:pPr>
      <w:r>
        <w:rPr>
          <w:rStyle w:val="ColorGray"/>
        </w:rPr>
        <w:t xml:space="preserve">⟨14⟩</w:t>
      </w:r>
      <w:r>
        <w:t xml:space="preserve"> </w:t>
      </w:r>
      <w:r>
        <w:t xml:space="preserve">-(v)</w:t>
      </w:r>
      <w:r>
        <w:rPr>
          <w:rStyle w:val="ColorMagenta"/>
        </w:rPr>
        <w:t xml:space="preserve">¡ri!</w:t>
      </w:r>
      <w:r>
        <w:rPr>
          <w:rStyle w:val="ColorBlue"/>
        </w:rPr>
        <w:t xml:space="preserve">⟨r̥⟩</w:t>
      </w:r>
      <w:r>
        <w:t xml:space="preserve">(nd)āra(ka){ḥ}sya ⬦</w:t>
      </w:r>
      <w:r>
        <w:t xml:space="preserve"> </w:t>
      </w:r>
      <w:r>
        <w:rPr>
          <w:rStyle w:val="ColorGreen"/>
          <w:i/>
          <w:iCs/>
        </w:rPr>
        <w:t xml:space="preserve">-b</w:t>
      </w:r>
      <w:r>
        <w:rPr>
          <w:rStyle w:val="ColorMagenta"/>
          <w:i/>
          <w:iCs/>
        </w:rPr>
        <w:t xml:space="preserve">¡ri!</w:t>
      </w:r>
      <w:r>
        <w:rPr>
          <w:rStyle w:val="ColorBlue"/>
          <w:i/>
          <w:iCs/>
        </w:rPr>
        <w:t xml:space="preserve">⟨r̥⟩</w:t>
      </w:r>
      <w:r>
        <w:rPr>
          <w:rStyle w:val="ColorGreen"/>
          <w:i/>
          <w:iCs/>
        </w:rPr>
        <w:t xml:space="preserve">ndārakasya</w:t>
      </w:r>
      <w:r>
        <w:t xml:space="preserve"> </w:t>
      </w:r>
      <w:r>
        <w:t xml:space="preserve">MDS. —</w:t>
      </w:r>
      <w:r>
        <w:t xml:space="preserve"> </w:t>
      </w:r>
      <w:r>
        <w:rPr>
          <w:rStyle w:val="ColorGray"/>
        </w:rPr>
        <w:t xml:space="preserve">⟨14⟩</w:t>
      </w:r>
      <w:r>
        <w:t xml:space="preserve"> </w:t>
      </w:r>
      <w:r>
        <w:t xml:space="preserve">kr(o)va</w:t>
      </w:r>
      <w:r>
        <w:rPr>
          <w:rStyle w:val="ColorGray"/>
        </w:rPr>
        <w:t xml:space="preserve">⟨15⟩</w:t>
      </w:r>
      <w:r>
        <w:t xml:space="preserve">(śi?)ri- ⬦</w:t>
      </w:r>
      <w:r>
        <w:t xml:space="preserve"> </w:t>
      </w:r>
      <w:r>
        <w:rPr>
          <w:rStyle w:val="ColorGreen"/>
          <w:i/>
          <w:iCs/>
        </w:rPr>
        <w:t xml:space="preserve">krova</w:t>
      </w:r>
      <w:r>
        <w:rPr>
          <w:rStyle w:val="ColorGray"/>
          <w:i/>
          <w:iCs/>
        </w:rPr>
        <w:t xml:space="preserve">⟨15⟩</w:t>
      </w:r>
      <w:r>
        <w:rPr>
          <w:rStyle w:val="ColorGreen"/>
          <w:i/>
          <w:iCs/>
        </w:rPr>
        <w:t xml:space="preserve">(cū)ri-</w:t>
      </w:r>
      <w:r>
        <w:t xml:space="preserve"> </w:t>
      </w:r>
      <w:r>
        <w:t xml:space="preserve">MDS • I cannot exclude MDS’s reading, but I believe the spelling</w:t>
      </w:r>
      <w:r>
        <w:t xml:space="preserve"> </w:t>
      </w:r>
      <w:r>
        <w:rPr>
          <w:i/>
          <w:iCs/>
        </w:rPr>
        <w:t xml:space="preserve">krovaśiri</w:t>
      </w:r>
      <w:r>
        <w:t xml:space="preserve">, as read for ARIE and as attested in the</w:t>
      </w:r>
      <w:r>
        <w:t xml:space="preserve"> </w:t>
      </w:r>
      <w:hyperlink r:id="rId11">
        <w:r>
          <w:rPr>
            <w:rStyle w:val="Hyperlink"/>
          </w:rPr>
          <w:t xml:space="preserve">Koṟṟapaṟṟu grant of Vijayāditya II</w:t>
        </w:r>
      </w:hyperlink>
      <w:r>
        <w:t xml:space="preserve">, is more likely.</w:t>
      </w:r>
    </w:p>
    <w:p>
      <w:pPr>
        <w:pStyle w:val="BodyText"/>
      </w:pPr>
      <w:r>
        <w:rPr>
          <w:rStyle w:val="ColorGray"/>
        </w:rPr>
        <w:t xml:space="preserve">⟨15⟩</w:t>
      </w:r>
      <w:r>
        <w:t xml:space="preserve"> </w:t>
      </w:r>
      <w:r>
        <w:t xml:space="preserve">pu</w:t>
      </w:r>
      <w:r>
        <w:rPr>
          <w:rStyle w:val="ColorGray"/>
        </w:rPr>
        <w:t xml:space="preserve">⟨16⟩</w:t>
      </w:r>
      <w:r>
        <w:t xml:space="preserve">t(r)</w:t>
      </w:r>
      <w:r>
        <w:rPr>
          <w:rStyle w:val="ColorRed"/>
        </w:rPr>
        <w:t xml:space="preserve">¿a?</w:t>
      </w:r>
      <w:r>
        <w:rPr>
          <w:rStyle w:val="ColorGreen"/>
        </w:rPr>
        <w:t xml:space="preserve">⟨ā⟩</w:t>
      </w:r>
      <w:r>
        <w:t xml:space="preserve">(ya) ⬦</w:t>
      </w:r>
      <w:r>
        <w:t xml:space="preserve"> </w:t>
      </w:r>
      <w:r>
        <w:rPr>
          <w:rStyle w:val="ColorGreen"/>
          <w:i/>
          <w:iCs/>
        </w:rPr>
        <w:t xml:space="preserve">pu</w:t>
      </w:r>
      <w:r>
        <w:rPr>
          <w:rStyle w:val="ColorGray"/>
          <w:i/>
          <w:iCs/>
        </w:rPr>
        <w:t xml:space="preserve">⟨16⟩</w:t>
      </w:r>
      <w:r>
        <w:rPr>
          <w:rStyle w:val="ColorGreen"/>
          <w:i/>
          <w:iCs/>
        </w:rPr>
        <w:t xml:space="preserve">trāya</w:t>
      </w:r>
      <w:r>
        <w:t xml:space="preserve"> </w:t>
      </w:r>
      <w:r>
        <w:t xml:space="preserve">MDS.</w:t>
      </w:r>
    </w:p>
    <w:p>
      <w:pPr>
        <w:pStyle w:val="BodyText"/>
      </w:pPr>
      <w:r>
        <w:rPr>
          <w:rStyle w:val="ColorGray"/>
        </w:rPr>
        <w:t xml:space="preserve">⟨17⟩</w:t>
      </w:r>
      <w:r>
        <w:t xml:space="preserve"> </w:t>
      </w:r>
      <w:r>
        <w:t xml:space="preserve">magā(va?)(ḍ)u ⬦</w:t>
      </w:r>
      <w:r>
        <w:t xml:space="preserve"> </w:t>
      </w:r>
      <w:r>
        <w:rPr>
          <w:rStyle w:val="ColorGreen"/>
          <w:i/>
          <w:iCs/>
        </w:rPr>
        <w:t xml:space="preserve">maṁgaveḍu</w:t>
      </w:r>
      <w:r>
        <w:t xml:space="preserve"> </w:t>
      </w:r>
      <w:r>
        <w:t xml:space="preserve">MDS • The ARIE report also records the name of the village as Maṅgaveḍu. There is definitely no</w:t>
      </w:r>
      <w:r>
        <w:t xml:space="preserve"> </w:t>
      </w:r>
      <w:r>
        <w:rPr>
          <w:i/>
          <w:iCs/>
        </w:rPr>
        <w:t xml:space="preserve">ṅ</w:t>
      </w:r>
      <w:r>
        <w:t xml:space="preserve"> </w:t>
      </w:r>
      <w:r>
        <w:t xml:space="preserve">here, though an</w:t>
      </w:r>
      <w:r>
        <w:t xml:space="preserve"> </w:t>
      </w:r>
      <w:r>
        <w:rPr>
          <w:i/>
          <w:iCs/>
        </w:rPr>
        <w:t xml:space="preserve">anusvāra</w:t>
      </w:r>
      <w:r>
        <w:t xml:space="preserve"> </w:t>
      </w:r>
      <w:r>
        <w:t xml:space="preserve">may be present. The vertical vowel marker between</w:t>
      </w:r>
      <w:r>
        <w:t xml:space="preserve"> </w:t>
      </w:r>
      <w:r>
        <w:rPr>
          <w:i/>
          <w:iCs/>
        </w:rPr>
        <w:t xml:space="preserve">g</w:t>
      </w:r>
      <w:r>
        <w:t xml:space="preserve"> </w:t>
      </w:r>
      <w:r>
        <w:t xml:space="preserve">and</w:t>
      </w:r>
      <w:r>
        <w:t xml:space="preserve"> </w:t>
      </w:r>
      <w:r>
        <w:rPr>
          <w:i/>
          <w:iCs/>
        </w:rPr>
        <w:t xml:space="preserve">v</w:t>
      </w:r>
      <w:r>
        <w:t xml:space="preserve"> </w:t>
      </w:r>
      <w:r>
        <w:t xml:space="preserve">in my opinion bends to the left at the top, and is thus probably associated with</w:t>
      </w:r>
      <w:r>
        <w:t xml:space="preserve"> </w:t>
      </w:r>
      <w:r>
        <w:rPr>
          <w:i/>
          <w:iCs/>
        </w:rPr>
        <w:t xml:space="preserve">g</w:t>
      </w:r>
      <w:r>
        <w:t xml:space="preserve"> </w:t>
      </w:r>
      <w:r>
        <w:t xml:space="preserve">rather than with the next character. —</w:t>
      </w:r>
      <w:r>
        <w:t xml:space="preserve"> </w:t>
      </w:r>
      <w:r>
        <w:rPr>
          <w:rStyle w:val="ColorGray"/>
        </w:rPr>
        <w:t xml:space="preserve">⟨17⟩</w:t>
      </w:r>
      <w:r>
        <w:t xml:space="preserve"> </w:t>
      </w:r>
      <w:r>
        <w:t xml:space="preserve">(g)r</w:t>
      </w:r>
      <w:r>
        <w:rPr>
          <w:rStyle w:val="ColorRed"/>
        </w:rPr>
        <w:t xml:space="preserve">¿a?</w:t>
      </w:r>
      <w:r>
        <w:rPr>
          <w:rStyle w:val="ColorGreen"/>
        </w:rPr>
        <w:t xml:space="preserve">⟨ā⟩</w:t>
      </w:r>
      <w:r>
        <w:t xml:space="preserve">me ⬦</w:t>
      </w:r>
      <w:r>
        <w:t xml:space="preserve"> </w:t>
      </w:r>
      <w:r>
        <w:rPr>
          <w:rStyle w:val="ColorGreen"/>
          <w:i/>
          <w:iCs/>
        </w:rPr>
        <w:t xml:space="preserve">grāme</w:t>
      </w:r>
      <w:r>
        <w:t xml:space="preserve"> </w:t>
      </w:r>
      <w:r>
        <w:t xml:space="preserve">MDS. —</w:t>
      </w:r>
      <w:r>
        <w:t xml:space="preserve"> </w:t>
      </w:r>
      <w:r>
        <w:rPr>
          <w:rStyle w:val="ColorGray"/>
        </w:rPr>
        <w:t xml:space="preserve">⟨17⟩</w:t>
      </w:r>
      <w:r>
        <w:t xml:space="preserve"> </w:t>
      </w:r>
      <w:r>
        <w:t xml:space="preserve">(daśa-ka)(ṇḍ?)(ika)- ⬦</w:t>
      </w:r>
      <w:r>
        <w:t xml:space="preserve"> </w:t>
      </w:r>
      <w:r>
        <w:rPr>
          <w:rStyle w:val="ColorGreen"/>
          <w:i/>
          <w:iCs/>
        </w:rPr>
        <w:t xml:space="preserve">daś</w:t>
      </w:r>
      <w:r>
        <w:rPr>
          <w:rStyle w:val="ColorRed"/>
          <w:i/>
          <w:iCs/>
        </w:rPr>
        <w:t xml:space="preserve">¿ā?</w:t>
      </w:r>
      <w:r>
        <w:rPr>
          <w:rStyle w:val="ColorGreen"/>
          <w:i/>
          <w:iCs/>
        </w:rPr>
        <w:t xml:space="preserve">⟨a⟩</w:t>
      </w:r>
      <w:r>
        <w:rPr>
          <w:rStyle w:val="ColorGreen"/>
          <w:i/>
          <w:iCs/>
        </w:rPr>
        <w:t xml:space="preserve">-kaṇṭikā-</w:t>
      </w:r>
      <w:r>
        <w:t xml:space="preserve"> </w:t>
      </w:r>
      <w:r>
        <w:t xml:space="preserve">MDS.</w:t>
      </w:r>
    </w:p>
    <w:p>
      <w:pPr>
        <w:pStyle w:val="BodyText"/>
      </w:pPr>
      <w:r>
        <w:rPr>
          <w:rStyle w:val="ColorGray"/>
        </w:rPr>
        <w:t xml:space="preserve">⟨18⟩</w:t>
      </w:r>
      <w:r>
        <w:t xml:space="preserve"> </w:t>
      </w:r>
      <w:r>
        <w:t xml:space="preserve">-[bī?](ja?)-(vāpa-) ⬦</w:t>
      </w:r>
      <w:r>
        <w:t xml:space="preserve"> </w:t>
      </w:r>
      <w:r>
        <w:rPr>
          <w:rStyle w:val="ColorGreen"/>
          <w:i/>
          <w:iCs/>
        </w:rPr>
        <w:t xml:space="preserve">-(bī)jāvāpa-</w:t>
      </w:r>
      <w:r>
        <w:t xml:space="preserve"> </w:t>
      </w:r>
      <w:r>
        <w:t xml:space="preserve">MDS • MDS’s reading is entirely possible. —</w:t>
      </w:r>
      <w:r>
        <w:t xml:space="preserve"> </w:t>
      </w:r>
      <w:r>
        <w:rPr>
          <w:rStyle w:val="ColorGray"/>
        </w:rPr>
        <w:t xml:space="preserve">⟨18⟩</w:t>
      </w:r>
      <w:r>
        <w:t xml:space="preserve"> </w:t>
      </w:r>
      <w:r>
        <w:t xml:space="preserve">(kṣe)⟨traṁ⟩ (p)radatta(ṁ) ⬦</w:t>
      </w:r>
      <w:r>
        <w:t xml:space="preserve"> </w:t>
      </w:r>
      <w:r>
        <w:rPr>
          <w:rStyle w:val="ColorGreen"/>
          <w:i/>
          <w:iCs/>
        </w:rPr>
        <w:t xml:space="preserve">kṣetra⟨ṁ⟩ dattaṁ</w:t>
      </w:r>
      <w:r>
        <w:t xml:space="preserve"> </w:t>
      </w:r>
      <w:r>
        <w:t xml:space="preserve">MDS • I cannot exclude MDS’s reading, but</w:t>
      </w:r>
      <w:r>
        <w:t xml:space="preserve"> </w:t>
      </w:r>
      <w:r>
        <w:rPr>
          <w:i/>
          <w:iCs/>
        </w:rPr>
        <w:t xml:space="preserve">pra</w:t>
      </w:r>
      <w:r>
        <w:t xml:space="preserve"> </w:t>
      </w:r>
      <w:r>
        <w:t xml:space="preserve">seems more likely to me.</w:t>
      </w:r>
    </w:p>
    <w:p>
      <w:pPr>
        <w:pStyle w:val="BodyText"/>
      </w:pPr>
      <w:r>
        <w:rPr>
          <w:rStyle w:val="ColorGray"/>
        </w:rPr>
        <w:t xml:space="preserve">⟨19⟩</w:t>
      </w:r>
      <w:r>
        <w:t xml:space="preserve"> </w:t>
      </w:r>
      <w:r>
        <w:t xml:space="preserve">(b)o(ḷ)u</w:t>
      </w:r>
      <w:r>
        <w:rPr>
          <w:rStyle w:val="ColorGray"/>
        </w:rPr>
        <w:t xml:space="preserve">⟨20⟩</w:t>
      </w:r>
      <w:r>
        <w:t xml:space="preserve">[ca. 1×]◯na-bo(y)u- ⬦</w:t>
      </w:r>
      <w:r>
        <w:t xml:space="preserve"> </w:t>
      </w:r>
      <w:r>
        <w:rPr>
          <w:rStyle w:val="ColorGreen"/>
          <w:i/>
          <w:iCs/>
        </w:rPr>
        <w:t xml:space="preserve">bolu</w:t>
      </w:r>
      <w:r>
        <w:rPr>
          <w:rStyle w:val="ColorGray"/>
          <w:i/>
          <w:iCs/>
        </w:rPr>
        <w:t xml:space="preserve">⟨20⟩</w:t>
      </w:r>
      <w:r>
        <w:rPr>
          <w:rStyle w:val="ColorGreen"/>
          <w:i/>
          <w:iCs/>
        </w:rPr>
        <w:t xml:space="preserve">(camā)na-boyu-</w:t>
      </w:r>
      <w:r>
        <w:t xml:space="preserve"> </w:t>
      </w:r>
      <w:r>
        <w:t xml:space="preserve">MDS • The damaged writing before the hole seems insufficient for two characters.</w:t>
      </w:r>
    </w:p>
    <w:p>
      <w:pPr>
        <w:pStyle w:val="BodyText"/>
      </w:pPr>
      <w:r>
        <w:rPr>
          <w:rStyle w:val="ColorGray"/>
        </w:rPr>
        <w:t xml:space="preserve">⟨21⟩</w:t>
      </w:r>
      <w:r>
        <w:t xml:space="preserve"> </w:t>
      </w:r>
      <w:r>
        <w:t xml:space="preserve">(p)</w:t>
      </w:r>
      <w:r>
        <w:rPr>
          <w:rStyle w:val="ColorRed"/>
        </w:rPr>
        <w:t xml:space="preserve">¿(a)?</w:t>
      </w:r>
      <w:r>
        <w:rPr>
          <w:rStyle w:val="ColorGreen"/>
        </w:rPr>
        <w:t xml:space="preserve">⟨ā⟩</w:t>
      </w:r>
      <w:r>
        <w:t xml:space="preserve">(r)t</w:t>
      </w:r>
      <w:r>
        <w:rPr>
          <w:rStyle w:val="ColorRed"/>
        </w:rPr>
        <w:t xml:space="preserve">¿t?</w:t>
      </w:r>
      <w:r>
        <w:rPr>
          <w:rStyle w:val="ColorGreen"/>
        </w:rPr>
        <w:t xml:space="preserve">⟨th⟩</w:t>
      </w:r>
      <w:r>
        <w:t xml:space="preserve">(i)vendr</w:t>
      </w:r>
      <w:r>
        <w:rPr>
          <w:rStyle w:val="ColorRed"/>
        </w:rPr>
        <w:t xml:space="preserve">¿a?</w:t>
      </w:r>
      <w:r>
        <w:rPr>
          <w:rStyle w:val="ColorGreen"/>
        </w:rPr>
        <w:t xml:space="preserve">⟨ā⟩</w:t>
      </w:r>
      <w:r>
        <w:t xml:space="preserve">N ⬦</w:t>
      </w:r>
      <w:r>
        <w:t xml:space="preserve"> </w:t>
      </w:r>
      <w:r>
        <w:rPr>
          <w:rStyle w:val="ColorGreen"/>
          <w:i/>
          <w:iCs/>
        </w:rPr>
        <w:t xml:space="preserve">(p)</w:t>
      </w:r>
      <w:r>
        <w:rPr>
          <w:rStyle w:val="ColorRed"/>
          <w:i/>
          <w:iCs/>
        </w:rPr>
        <w:t xml:space="preserve">¿(a)?</w:t>
      </w:r>
      <w:r>
        <w:rPr>
          <w:rStyle w:val="ColorGreen"/>
          <w:i/>
          <w:iCs/>
        </w:rPr>
        <w:t xml:space="preserve">⟨ā⟩</w:t>
      </w:r>
      <w:r>
        <w:rPr>
          <w:rStyle w:val="ColorGreen"/>
          <w:i/>
          <w:iCs/>
        </w:rPr>
        <w:t xml:space="preserve">(r)tth</w:t>
      </w:r>
      <w:r>
        <w:rPr>
          <w:rStyle w:val="ColorRed"/>
          <w:i/>
          <w:iCs/>
        </w:rPr>
        <w:t xml:space="preserve">¿a?</w:t>
      </w:r>
      <w:r>
        <w:rPr>
          <w:rStyle w:val="ColorGreen"/>
          <w:i/>
          <w:iCs/>
        </w:rPr>
        <w:t xml:space="preserve">⟨i⟩</w:t>
      </w:r>
      <w:r>
        <w:rPr>
          <w:rStyle w:val="ColorGreen"/>
          <w:i/>
          <w:iCs/>
        </w:rPr>
        <w:t xml:space="preserve">vendr</w:t>
      </w:r>
      <w:r>
        <w:rPr>
          <w:rStyle w:val="ColorRed"/>
          <w:i/>
          <w:iCs/>
        </w:rPr>
        <w:t xml:space="preserve">¿a?</w:t>
      </w:r>
      <w:r>
        <w:rPr>
          <w:rStyle w:val="ColorGreen"/>
          <w:i/>
          <w:iCs/>
        </w:rPr>
        <w:t xml:space="preserve">⟨ā⟩</w:t>
      </w:r>
      <w:r>
        <w:rPr>
          <w:rStyle w:val="ColorGreen"/>
          <w:i/>
          <w:iCs/>
        </w:rPr>
        <w:t xml:space="preserve">N</w:t>
      </w:r>
      <w:r>
        <w:t xml:space="preserve"> </w:t>
      </w:r>
      <w:r>
        <w:t xml:space="preserve">MDS. —</w:t>
      </w:r>
      <w:r>
        <w:t xml:space="preserve"> </w:t>
      </w:r>
      <w:r>
        <w:rPr>
          <w:rStyle w:val="ColorGray"/>
        </w:rPr>
        <w:t xml:space="preserve">⟨21⟩</w:t>
      </w:r>
      <w:r>
        <w:t xml:space="preserve"> </w:t>
      </w:r>
      <w:r>
        <w:t xml:space="preserve">bh</w:t>
      </w:r>
      <w:r>
        <w:rPr>
          <w:rStyle w:val="ColorRed"/>
        </w:rPr>
        <w:t xml:space="preserve">¿u?</w:t>
      </w:r>
      <w:r>
        <w:rPr>
          <w:rStyle w:val="ColorGreen"/>
        </w:rPr>
        <w:t xml:space="preserve">⟨ū⟩</w:t>
      </w:r>
      <w:r>
        <w:t xml:space="preserve">(yo) bh</w:t>
      </w:r>
      <w:r>
        <w:rPr>
          <w:rStyle w:val="ColorRed"/>
        </w:rPr>
        <w:t xml:space="preserve">¿u?</w:t>
      </w:r>
      <w:r>
        <w:rPr>
          <w:rStyle w:val="ColorGreen"/>
        </w:rPr>
        <w:t xml:space="preserve">⟨ū⟩</w:t>
      </w:r>
      <w:r>
        <w:t xml:space="preserve">(y)o ⬦</w:t>
      </w:r>
      <w:r>
        <w:t xml:space="preserve"> </w:t>
      </w:r>
      <w:r>
        <w:rPr>
          <w:rStyle w:val="ColorGreen"/>
          <w:i/>
          <w:iCs/>
        </w:rPr>
        <w:t xml:space="preserve">bhūyo bhūyo</w:t>
      </w:r>
      <w:r>
        <w:t xml:space="preserve"> </w:t>
      </w:r>
      <w:r>
        <w:t xml:space="preserve">MDS.</w:t>
      </w:r>
    </w:p>
    <w:p>
      <w:pPr>
        <w:pStyle w:val="BodyText"/>
      </w:pPr>
      <w:r>
        <w:rPr>
          <w:rStyle w:val="ColorGray"/>
        </w:rPr>
        <w:t xml:space="preserve">⟨22⟩</w:t>
      </w:r>
      <w:r>
        <w:t xml:space="preserve"> </w:t>
      </w:r>
      <w:r>
        <w:t xml:space="preserve">sām</w:t>
      </w:r>
      <w:r>
        <w:rPr>
          <w:rStyle w:val="ColorRed"/>
        </w:rPr>
        <w:t xml:space="preserve">¿a?</w:t>
      </w:r>
      <w:r>
        <w:rPr>
          <w:rStyle w:val="ColorGreen"/>
        </w:rPr>
        <w:t xml:space="preserve">⟨ā⟩</w:t>
      </w:r>
      <w:r>
        <w:t xml:space="preserve">nyo ⬦</w:t>
      </w:r>
      <w:r>
        <w:t xml:space="preserve"> </w:t>
      </w:r>
      <w:r>
        <w:rPr>
          <w:rStyle w:val="ColorGreen"/>
          <w:i/>
          <w:iCs/>
        </w:rPr>
        <w:t xml:space="preserve">sāmānyo</w:t>
      </w:r>
      <w:r>
        <w:t xml:space="preserve"> </w:t>
      </w:r>
      <w:r>
        <w:t xml:space="preserve">MDS. —</w:t>
      </w:r>
      <w:r>
        <w:t xml:space="preserve"> </w:t>
      </w:r>
      <w:r>
        <w:rPr>
          <w:rStyle w:val="ColorGray"/>
        </w:rPr>
        <w:t xml:space="preserve">⟨22⟩</w:t>
      </w:r>
      <w:r>
        <w:t xml:space="preserve"> </w:t>
      </w:r>
      <w:r>
        <w:t xml:space="preserve">nr̥p(ā)</w:t>
      </w:r>
      <w:r>
        <w:rPr>
          <w:rStyle w:val="ColorRed"/>
        </w:rPr>
        <w:t xml:space="preserve">¿na?</w:t>
      </w:r>
      <w:r>
        <w:rPr>
          <w:rStyle w:val="ColorGreen"/>
        </w:rPr>
        <w:t xml:space="preserve">⟨ṇā⟩</w:t>
      </w:r>
      <w:r>
        <w:t xml:space="preserve">(ṁ) ⬦</w:t>
      </w:r>
      <w:r>
        <w:t xml:space="preserve"> </w:t>
      </w:r>
      <w:r>
        <w:rPr>
          <w:rStyle w:val="ColorGreen"/>
          <w:i/>
          <w:iCs/>
        </w:rPr>
        <w:t xml:space="preserve">nr̥pā</w:t>
      </w:r>
      <w:r>
        <w:rPr>
          <w:rStyle w:val="ColorRed"/>
          <w:i/>
          <w:iCs/>
        </w:rPr>
        <w:t xml:space="preserve">¿n?</w:t>
      </w:r>
      <w:r>
        <w:rPr>
          <w:rStyle w:val="ColorGreen"/>
          <w:i/>
          <w:iCs/>
        </w:rPr>
        <w:t xml:space="preserve">⟨ṇ⟩</w:t>
      </w:r>
      <w:r>
        <w:rPr>
          <w:rStyle w:val="ColorGreen"/>
          <w:i/>
          <w:iCs/>
        </w:rPr>
        <w:t xml:space="preserve">āṁ</w:t>
      </w:r>
      <w:r>
        <w:t xml:space="preserve"> </w:t>
      </w:r>
      <w:r>
        <w:t xml:space="preserve">MDS.</w:t>
      </w:r>
    </w:p>
    <w:p>
      <w:pPr>
        <w:pStyle w:val="Heading1"/>
      </w:pPr>
      <w:r>
        <w:t xml:space="preserve">Translation</w:t>
      </w:r>
    </w:p>
    <w:p>
      <w:pPr>
        <w:pStyle w:val="Heading2"/>
      </w:pPr>
      <w:r>
        <w:t xml:space="preserve">Plates</w:t>
      </w:r>
    </w:p>
    <w:p>
      <w:pPr>
        <w:pStyle w:val="FirstParagraph"/>
      </w:pPr>
      <w:r>
        <w:rPr>
          <w:rStyle w:val="ColorGray"/>
        </w:rPr>
        <w:t xml:space="preserve">⟨1–14⟩</w:t>
      </w:r>
      <w:r>
        <w:t xml:space="preserve"> </w:t>
      </w:r>
      <w:r>
        <w:t xml:space="preserve">Greetings. The dear son of His Majesty King (</w:t>
      </w:r>
      <w:r>
        <w:rPr>
          <w:i/>
          <w:iCs/>
        </w:rPr>
        <w:t xml:space="preserve">mahārāja</w:t>
      </w:r>
      <w:r>
        <w:t xml:space="preserve">) Viṣṇuvardhana (V)</w:t>
      </w:r>
      <w:r>
        <w:rPr>
          <w:rStyle w:val="FootnoteReference"/>
        </w:rPr>
        <w:footnoteReference w:id="12"/>
      </w:r>
      <w:r>
        <w:t xml:space="preserve"> </w:t>
      </w:r>
      <w:r>
        <w:t xml:space="preserve">who attained victory in the clash of many a battle and who was eager to adorn the lineage of the majestic Caḷukyas—who are of the Mānavya</w:t>
      </w:r>
      <w:r>
        <w:t xml:space="preserve"> </w:t>
      </w:r>
      <w:r>
        <w:rPr>
          <w:i/>
          <w:iCs/>
        </w:rPr>
        <w:t xml:space="preserve">gotra</w:t>
      </w:r>
      <w:r>
        <w:t xml:space="preserve"> </w:t>
      </w:r>
      <w:r>
        <w:t xml:space="preserve">which is praised by the entire world, who are sons of Harīti,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grandson of King (</w:t>
      </w:r>
      <w:r>
        <w:rPr>
          <w:i/>
          <w:iCs/>
        </w:rPr>
        <w:t xml:space="preserve">mahārāja</w:t>
      </w:r>
      <w:r>
        <w:t xml:space="preserve">) Vijayāditya (II); ⟨namely⟩ the Supreme Lord (</w:t>
      </w:r>
      <w:r>
        <w:rPr>
          <w:i/>
          <w:iCs/>
        </w:rPr>
        <w:t xml:space="preserve">parameśvara</w:t>
      </w:r>
      <w:r>
        <w:t xml:space="preserve">), the Emperor (</w:t>
      </w:r>
      <w:r>
        <w:rPr>
          <w:i/>
          <w:iCs/>
        </w:rPr>
        <w:t xml:space="preserve">mahārājādhirāja</w:t>
      </w:r>
      <w:r>
        <w:t xml:space="preserve">) and Supreme Sovereign (</w:t>
      </w:r>
      <w:r>
        <w:rPr>
          <w:i/>
          <w:iCs/>
        </w:rPr>
        <w:t xml:space="preserve">parama-bhaṭṭāraka</w:t>
      </w:r>
      <w:r>
        <w:t xml:space="preserve">) Vijayāditya (III)—who desires the exaltation of his allies as Mount Meru {which indicates the rising of the sun}; whose army has become the terror of his enemies, like (Viṣṇu) the wielder of the Śārṅga (bow) {whose discus has become the terror of his enemies}; and who gives rise to prosperity as the ocean {produced Lakṣmī}—commands all householders (</w:t>
      </w:r>
      <w:r>
        <w:rPr>
          <w:i/>
          <w:iCs/>
        </w:rPr>
        <w:t xml:space="preserve">kuṭumbin</w:t>
      </w:r>
      <w:r>
        <w:t xml:space="preserve">)—including foremost the overseers (</w:t>
      </w:r>
      <w:r>
        <w:rPr>
          <w:i/>
          <w:iCs/>
        </w:rPr>
        <w:t xml:space="preserve">kūṭaka</w:t>
      </w:r>
      <w:r>
        <w:t xml:space="preserve">)— who reside in Gudravara district (</w:t>
      </w:r>
      <w:r>
        <w:rPr>
          <w:i/>
          <w:iCs/>
        </w:rPr>
        <w:t xml:space="preserve">viṣaya</w:t>
      </w:r>
      <w:r>
        <w:t xml:space="preserve">) as follows:</w:t>
      </w:r>
    </w:p>
    <w:p>
      <w:pPr>
        <w:pStyle w:val="BodyText"/>
      </w:pPr>
      <w:r>
        <w:rPr>
          <w:rStyle w:val="ColorGray"/>
        </w:rPr>
        <w:t xml:space="preserve">⟨14–18⟩</w:t>
      </w:r>
      <w:r>
        <w:t xml:space="preserve"> </w:t>
      </w:r>
      <w:r>
        <w:t xml:space="preserve">Let it be known to you that to Yajñaśarman of the Bhāradvāja</w:t>
      </w:r>
      <w:r>
        <w:t xml:space="preserve"> </w:t>
      </w:r>
      <w:r>
        <w:rPr>
          <w:i/>
          <w:iCs/>
        </w:rPr>
        <w:t xml:space="preserve">gotra</w:t>
      </w:r>
      <w:r>
        <w:t xml:space="preserve"> </w:t>
      </w:r>
      <w:r>
        <w:t xml:space="preserve">and the Āpastamba</w:t>
      </w:r>
      <w:r>
        <w:t xml:space="preserve"> </w:t>
      </w:r>
      <w:r>
        <w:rPr>
          <w:i/>
          <w:iCs/>
        </w:rPr>
        <w:t xml:space="preserve">sūtra</w:t>
      </w:r>
      <w:r>
        <w:t xml:space="preserve">—a resident of Krovaśiri who has studied the Veda, and who is the grandson of Kuppaśarman, a principal of the twiceborn,</w:t>
      </w:r>
      <w:r>
        <w:rPr>
          <w:rStyle w:val="FootnoteReference"/>
        </w:rPr>
        <w:footnoteReference w:id="13"/>
      </w:r>
      <w:r>
        <w:t xml:space="preserve"> </w:t>
      </w:r>
      <w:r>
        <w:t xml:space="preserve">and son of Bandhuśarman—we have given a field of an extent (sufficient) for sowing ten</w:t>
      </w:r>
      <w:r>
        <w:t xml:space="preserve"> </w:t>
      </w:r>
      <w:r>
        <w:rPr>
          <w:i/>
          <w:iCs/>
        </w:rPr>
        <w:t xml:space="preserve">kaṇḍika</w:t>
      </w:r>
      <w:r>
        <w:t xml:space="preserve">s of paddy seed at the village named Magāvaḍu.</w:t>
      </w:r>
    </w:p>
    <w:p>
      <w:pPr>
        <w:pStyle w:val="BodyText"/>
      </w:pPr>
      <w:r>
        <w:rPr>
          <w:rStyle w:val="ColorGray"/>
        </w:rPr>
        <w:t xml:space="preserve">⟨18–21⟩</w:t>
      </w:r>
      <w:r>
        <w:t xml:space="preserve"> </w:t>
      </w:r>
      <w:r>
        <w:t xml:space="preserve">Its boundaries ⟨are as follows⟩. To the east, the</w:t>
      </w:r>
      <w:r>
        <w:t xml:space="preserve"> </w:t>
      </w:r>
      <w:r>
        <w:rPr>
          <w:i/>
          <w:iCs/>
        </w:rPr>
        <w:t xml:space="preserve">kappu-ṟeni</w:t>
      </w:r>
      <w:r>
        <w:t xml:space="preserve"> </w:t>
      </w:r>
      <w:r>
        <w:t xml:space="preserve">field (</w:t>
      </w:r>
      <w:r>
        <w:rPr>
          <w:i/>
          <w:iCs/>
        </w:rPr>
        <w:t xml:space="preserve">cenu</w:t>
      </w:r>
      <w:r>
        <w:t xml:space="preserve">).</w:t>
      </w:r>
      <w:r>
        <w:rPr>
          <w:rStyle w:val="FootnoteReference"/>
        </w:rPr>
        <w:footnoteReference w:id="14"/>
      </w:r>
      <w:r>
        <w:t xml:space="preserve"> </w:t>
      </w:r>
      <w:r>
        <w:t xml:space="preserve">To the south, the Ceṟukani field (</w:t>
      </w:r>
      <w:r>
        <w:rPr>
          <w:i/>
          <w:iCs/>
        </w:rPr>
        <w:t xml:space="preserve">cenu</w:t>
      </w:r>
      <w:r>
        <w:t xml:space="preserve">). To the west, the Boḷu[ca. 1×]na</w:t>
      </w:r>
      <w:r>
        <w:t xml:space="preserve"> </w:t>
      </w:r>
      <w:r>
        <w:rPr>
          <w:i/>
          <w:iCs/>
        </w:rPr>
        <w:t xml:space="preserve">boyu</w:t>
      </w:r>
      <w:r>
        <w:rPr>
          <w:rStyle w:val="FootnoteReference"/>
        </w:rPr>
        <w:footnoteReference w:id="15"/>
      </w:r>
      <w:r>
        <w:t xml:space="preserve"> </w:t>
      </w:r>
      <w:r>
        <w:t xml:space="preserve">field (</w:t>
      </w:r>
      <w:r>
        <w:rPr>
          <w:i/>
          <w:iCs/>
        </w:rPr>
        <w:t xml:space="preserve">cenu</w:t>
      </w:r>
      <w:r>
        <w:t xml:space="preserve">). To the north, the field (</w:t>
      </w:r>
      <w:r>
        <w:rPr>
          <w:i/>
          <w:iCs/>
        </w:rPr>
        <w:t xml:space="preserve">cenu</w:t>
      </w:r>
      <w:r>
        <w:t xml:space="preserve">) of the overseer (</w:t>
      </w:r>
      <w:r>
        <w:rPr>
          <w:i/>
          <w:iCs/>
        </w:rPr>
        <w:t xml:space="preserve">raṭṭoḍi</w:t>
      </w:r>
      <w:r>
        <w:t xml:space="preserve">). It is situated in the midst of these ⟨boundaries⟩.</w:t>
      </w:r>
    </w:p>
    <w:p>
      <w:pPr>
        <w:pStyle w:val="BodyText"/>
      </w:pPr>
      <w:r>
        <w:t xml:space="preserve">1.</w:t>
      </w:r>
    </w:p>
    <w:p>
      <w:pPr>
        <w:pStyle w:val="BodyText"/>
      </w:pPr>
      <w:r>
        <w:t xml:space="preserve">Over and over again, Rāmabhadra begs all future rulers thus: “Each in your own time, you shall respect this bulwark of legality that is universally applicable to kings!”</w:t>
      </w:r>
    </w:p>
    <w:p>
      <w:pPr>
        <w:pStyle w:val="BodyText"/>
      </w:pPr>
      <w:r>
        <w:t xml:space="preserve">2.</w:t>
      </w:r>
    </w:p>
    <w:p>
      <w:pPr>
        <w:pStyle w:val="BodyText"/>
      </w:pPr>
      <w:r>
        <w:t xml:space="preserve">The executor (</w:t>
      </w:r>
      <w:r>
        <w:rPr>
          <w:i/>
          <w:iCs/>
        </w:rPr>
        <w:t xml:space="preserve">ājñapti</w:t>
      </w:r>
      <w:r>
        <w:t xml:space="preserve">) of this provision (</w:t>
      </w:r>
      <w:r>
        <w:rPr>
          <w:i/>
          <w:iCs/>
        </w:rPr>
        <w:t xml:space="preserve">dharma</w:t>
      </w:r>
      <w:r>
        <w:t xml:space="preserve">) is Paṇḍaraṅga, the storehouse of virtue, a bee at the lotus feet of King Vijayāditya.</w:t>
      </w:r>
    </w:p>
    <w:p>
      <w:pPr>
        <w:pStyle w:val="Heading1"/>
      </w:pPr>
      <w:r>
        <w:t xml:space="preserve">Commentary</w:t>
      </w:r>
    </w:p>
    <w:p>
      <w:pPr>
        <w:pStyle w:val="FirstParagraph"/>
      </w:pPr>
      <w:r>
        <w:t xml:space="preserve">The ARIE report reads the name of the donated village as Maṁgaveḍu, and identifies it with modern Maṅginapūḍi in Bandar taluk of Kistna district. The reading seems doubtful to me, and I therefore prefer to name the charter after its findspot. The report identifies Krovaśiri with modern Krōsūru in Sattenapalle taluk of Guntur district.</w:t>
      </w:r>
    </w:p>
    <w:p>
      <w:pPr>
        <w:pStyle w:val="BodyText"/>
      </w:pPr>
      <w:r>
        <w:t xml:space="preserve">ARIE talks about “early angular characters” in attributing the plates to Vijayāditya II. Then, without skipping a breath, it states that the</w:t>
      </w:r>
      <w:r>
        <w:t xml:space="preserve"> </w:t>
      </w:r>
      <w:r>
        <w:rPr>
          <w:i/>
          <w:iCs/>
        </w:rPr>
        <w:t xml:space="preserve">ājñapti</w:t>
      </w:r>
      <w:r>
        <w:t xml:space="preserve"> </w:t>
      </w:r>
      <w:r>
        <w:t xml:space="preserve">of the grant is Paṇḍaraṅga, “the bee at the lotus-feet of Guṇagāṅka-Vijayāditya” (i.e. Vijayāditya III). Neither the name nor the description appear anywhere in the photos available online, but page 3 verso is not documented among the photos. Sampath confirms that 3v bears an</w:t>
      </w:r>
      <w:r>
        <w:t xml:space="preserve"> </w:t>
      </w:r>
      <w:r>
        <w:rPr>
          <w:i/>
          <w:iCs/>
        </w:rPr>
        <w:t xml:space="preserve">anuṣṭubh</w:t>
      </w:r>
      <w:r>
        <w:t xml:space="preserve"> </w:t>
      </w:r>
      <w:r>
        <w:t xml:space="preserve">stanza mentioning Paṇḍaraṅga. Pāṇḍarāṅga (as his name is more often spelt) is closely associated with Vijayāditya III, and is not known to have been associated with that king’s father Viṣṇuvardhana V or his grandfather Vijayāditya II. Thus, the present plates were in all likelihood issued by Vijayāditya III.</w:t>
      </w:r>
    </w:p>
    <w:p>
      <w:pPr>
        <w:pStyle w:val="Heading1"/>
      </w:pPr>
      <w:r>
        <w:t xml:space="preserve">Bibliography</w:t>
      </w:r>
    </w:p>
    <w:p>
      <w:pPr>
        <w:pStyle w:val="FirstParagraph"/>
      </w:pPr>
      <w:r>
        <w:t xml:space="preserve">Reported in ARIE 1938–39, p. 7, appendix A/1938-39, № 2 with discussion at ARIE 1938–39, pp. 71–72, § 4. Edited from estampages by M. D. Sampath ([1992] 1975–1976) with facsimiles, without translation. The present edition was initially prepared for DHARMA by Dániel Balogh on the basis of photos published by the Indian Museum (Kolkata),</w:t>
      </w:r>
      <w:r>
        <w:rPr>
          <w:rStyle w:val="FootnoteReference"/>
        </w:rPr>
        <w:footnoteReference w:id="16"/>
      </w:r>
      <w:r>
        <w:t xml:space="preserve">and has been subsequently collated with Sampath’s edition. Metadata associated with this edition have been published separately in Balogh 2026, available on</w:t>
      </w:r>
      <w:r>
        <w:t xml:space="preserve"> </w:t>
      </w:r>
      <w:hyperlink r:id="rId18">
        <w:r>
          <w:rPr>
            <w:rStyle w:val="Hyperlink"/>
          </w:rPr>
          <w:t xml:space="preserve">Zenodo</w:t>
        </w:r>
      </w:hyperlink>
      <w:r>
        <w:t xml:space="preserve">.</w:t>
      </w:r>
    </w:p>
    <w:p>
      <w:pPr>
        <w:pStyle w:val="Heading2"/>
      </w:pPr>
      <w:r>
        <w:t xml:space="preserve">Primary</w:t>
      </w:r>
    </w:p>
    <w:p>
      <w:pPr>
        <w:pStyle w:val="FirstParagraph"/>
      </w:pPr>
      <w:r>
        <w:rPr>
          <w:b/>
          <w:bCs/>
        </w:rPr>
        <w:t xml:space="preserve">[MDS]</w:t>
      </w:r>
      <w:r>
        <w:t xml:space="preserve"> </w:t>
      </w:r>
      <w:r>
        <w:t xml:space="preserve">Sampath, M. D. [1992] 1975–1976. “Chandavōlu plates of Vijayāditya (III).” EI 41, pp. 114–117.</w:t>
      </w:r>
    </w:p>
    <w:p>
      <w:pPr>
        <w:pStyle w:val="Heading2"/>
      </w:pPr>
      <w:r>
        <w:t xml:space="preserve">Secondary</w:t>
      </w:r>
    </w:p>
    <w:p>
      <w:pPr>
        <w:pStyle w:val="FirstParagraph"/>
      </w:pPr>
      <w:r>
        <w:t xml:space="preserve">ARIE 1938–39.</w:t>
      </w:r>
      <w:r>
        <w:t xml:space="preserve"> </w:t>
      </w:r>
      <w:r>
        <w:rPr>
          <w:i/>
          <w:iCs/>
        </w:rPr>
        <w:t xml:space="preserve">Annual report on South Indian epigraphy for the year ending 31st March 1939</w:t>
      </w:r>
      <w:r>
        <w:t xml:space="preserve">. Edited by C. R. Krishnamacharlu. Delhi: Government of India, 1952.</w:t>
      </w:r>
    </w:p>
    <w:p>
      <w:pPr>
        <w:pStyle w:val="BodyText"/>
      </w:pPr>
      <w:r>
        <w:t xml:space="preserve">Balogh, Dániel. 2026. “Metadata for the DHARMA editions of Veṅgī Cālukya copper plates.” Zenodo. DOI:</w:t>
      </w:r>
      <w:r>
        <w:t xml:space="preserve"> </w:t>
      </w:r>
      <w:hyperlink r:id="rId19">
        <w:r>
          <w:rPr>
            <w:rStyle w:val="Hyperlink"/>
          </w:rPr>
          <w:t xml:space="preserve">10.5281/zenodo.22827003</w:t>
        </w:r>
      </w:hyperlink>
      <w:r>
        <w:t xml:space="preserve">.</w:t>
      </w:r>
      <w:r>
        <w:t xml:space="preserve"> </w:t>
      </w:r>
      <w:hyperlink r:id="rId18">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Eastern Cālukya grants very seldom commence with the reigning king’s father (before his grandfather). It seems likely that starting out with Viṣṇuvardhana is a mistake in the composition, which was corrected by adding Vijayāditya afterward. This may have been simple oversight, or perhaps the text of the charter was based on a grant of the king’s father Viṣṇuvardhana V, which would have mentioned that king’s grandfather Viṣṇuvardhana IV first. The composer of the present charter may have mechanically reproduced Viṣṇuvardhana here, and then set it up so that it referred to the reigning king’s father.</w:t>
      </w:r>
    </w:p>
  </w:footnote>
  <w:footnote w:id="13">
    <w:p>
      <w:pPr>
        <w:pStyle w:val="FootnoteText"/>
      </w:pPr>
      <w:r>
        <w:rPr>
          <w:rStyle w:val="FootnoteReference"/>
        </w:rPr>
        <w:footnoteRef/>
      </w:r>
      <w:r>
        <w:t xml:space="preserve"> </w:t>
      </w:r>
      <w:r>
        <w:t xml:space="preserve">The composer’s intent may have been to describe the donee, rather than the grandfather, as a principal of the twiceborn.</w:t>
      </w:r>
    </w:p>
  </w:footnote>
  <w:footnote w:id="14">
    <w:p>
      <w:pPr>
        <w:pStyle w:val="FootnoteText"/>
      </w:pPr>
      <w:r>
        <w:rPr>
          <w:rStyle w:val="FootnoteReference"/>
        </w:rPr>
        <w:footnoteRef/>
      </w:r>
      <w:r>
        <w:t xml:space="preserve"> </w:t>
      </w:r>
      <w:r>
        <w:t xml:space="preserve">According to an editorial note to MDS (Sampath [1992] 1975–1976, p. 116, n. 1),</w:t>
      </w:r>
      <w:r>
        <w:t xml:space="preserve"> </w:t>
      </w:r>
      <w:r>
        <w:rPr>
          <w:i/>
          <w:iCs/>
        </w:rPr>
        <w:t xml:space="preserve">kappu-ṟeni-cenu</w:t>
      </w:r>
      <w:r>
        <w:t xml:space="preserve"> </w:t>
      </w:r>
      <w:r>
        <w:t xml:space="preserve">“obviously” means black cotton soil.</w:t>
      </w:r>
    </w:p>
  </w:footnote>
  <w:footnote w:id="15">
    <w:p>
      <w:pPr>
        <w:pStyle w:val="FootnoteText"/>
      </w:pPr>
      <w:r>
        <w:rPr>
          <w:rStyle w:val="FootnoteReference"/>
        </w:rPr>
        <w:footnoteRef/>
      </w:r>
      <w:r>
        <w:t xml:space="preserve"> </w:t>
      </w:r>
      <w:r>
        <w:t xml:space="preserve">This reading is uncertain; see the apparatus to line 19. The word</w:t>
      </w:r>
      <w:r>
        <w:t xml:space="preserve"> </w:t>
      </w:r>
      <w:r>
        <w:rPr>
          <w:i/>
          <w:iCs/>
        </w:rPr>
        <w:t xml:space="preserve">boya</w:t>
      </w:r>
      <w:r>
        <w:t xml:space="preserve"> </w:t>
      </w:r>
      <w:r>
        <w:t xml:space="preserve">is probably involved.</w:t>
      </w:r>
    </w:p>
  </w:footnote>
  <w:footnote w:id="16">
    <w:p>
      <w:pPr>
        <w:pStyle w:val="FootnoteText"/>
      </w:pPr>
      <w:r>
        <w:rPr>
          <w:rStyle w:val="FootnoteReference"/>
        </w:rPr>
        <w:footnoteRef/>
      </w:r>
      <w:r>
        <w:t xml:space="preserve"> </w:t>
      </w:r>
      <w:hyperlink r:id="rId17">
        <w:r>
          <w:rPr>
            <w:rStyle w:val="Hyperlink"/>
          </w:rPr>
          <w:t xml:space="preserve">http://museumsofindia.gov.in/repository/record/im_kol-11358-19</w:t>
        </w:r>
      </w:hyperlink>
      <w:r>
        <w:t xml:space="preserve">. The photos show the seal, four inscribed faces and one blank face which must be 1r; Sampath’s estampage is the only available visual documentation of 3v, which is badly damaged.</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museumsofindia.gov.in/repository/record/im_kol-11358-19"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prosody#prosody-50" TargetMode="External" /><Relationship Type="http://schemas.openxmlformats.org/officeDocument/2006/relationships/hyperlink" Id="rId11" Target="https://dharmalekha.info/texts/INSVengiCalukya00021" TargetMode="External" /><Relationship Type="http://schemas.openxmlformats.org/officeDocument/2006/relationships/hyperlink" Id="rId19" Target="https://doi.org/10.5281/zenodo.22827003" TargetMode="External" /><Relationship Type="http://schemas.openxmlformats.org/officeDocument/2006/relationships/hyperlink" Id="rId18"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7" Target="http://museumsofindia.gov.in/repository/record/im_kol-11358-19" TargetMode="External" /><Relationship Type="http://schemas.openxmlformats.org/officeDocument/2006/relationships/hyperlink" Id="rId10" Target="https://dharmalekha.info/prosody#prosody-169" TargetMode="External" /><Relationship Type="http://schemas.openxmlformats.org/officeDocument/2006/relationships/hyperlink" Id="rId9" Target="https://dharmalekha.info/prosody#prosody-50" TargetMode="External" /><Relationship Type="http://schemas.openxmlformats.org/officeDocument/2006/relationships/hyperlink" Id="rId11" Target="https://dharmalekha.info/texts/INSVengiCalukya00021" TargetMode="External" /><Relationship Type="http://schemas.openxmlformats.org/officeDocument/2006/relationships/hyperlink" Id="rId19" Target="https://doi.org/10.5281/zenodo.22827003" TargetMode="External" /><Relationship Type="http://schemas.openxmlformats.org/officeDocument/2006/relationships/hyperlink" Id="rId18"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Candavolu plates of Vijayāditya III</dc:title>
  <dc:creator>Dániel Balogh</dc:creator>
  <cp:keywords/>
  <dcterms:created xsi:type="dcterms:W3CDTF">2026-10-26T23:41:45Z</dcterms:created>
  <dcterms:modified xsi:type="dcterms:W3CDTF">2026-10-26T23:41:45Z</dcterms:modified>
</cp:coreProperties>
</file>

<file path=docProps/custom.xml><?xml version="1.0" encoding="utf-8"?>
<Properties xmlns="http://schemas.openxmlformats.org/officeDocument/2006/custom-properties" xmlns:vt="http://schemas.openxmlformats.org/officeDocument/2006/docPropsVTypes"/>
</file>