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Nemmaḷūru grant of Vijayāditya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DHARMA_INSVengiCalukya00066</w:t>
      </w:r>
    </w:p>
    <w:p>
      <w:pPr>
        <w:pStyle w:val="BodyText"/>
      </w:pPr>
      <w:r>
        <w:t xml:space="preserve">Repository: Eastern Cālukya (tfb-vengicalukya-epigraphy)</w:t>
      </w:r>
    </w:p>
    <w:p>
      <w:pPr>
        <w:pStyle w:val="BodyText"/>
      </w:pPr>
      <w:r>
        <w:t xml:space="preserve">File path: xml/DHARMA_INSVengiCalukya00066.xml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(e.g. line 19) looks like a small inverted question mark, starting around the midline and ending around the headline.</w:t>
      </w:r>
    </w:p>
    <w:p>
      <w:pPr>
        <w:pStyle w:val="BodyText"/>
      </w:pPr>
      <w:r>
        <w:t xml:space="preserve">Original punctuation marks.</w:t>
      </w:r>
    </w:p>
    <w:p>
      <w:pPr>
        <w:pStyle w:val="BodyText"/>
      </w:pPr>
      <w:r>
        <w:t xml:space="preserve">Other palaeographic observations. Anusvāra is normally to the right of the character to which it belongs, but may be above it; it is possibly inside the i marker on the next character in l15 vaṁgipaṟu. Retroflex ṇa has a shape that I find unusual, with the left wing bent down to form a closed loop with the top of the body. Doubling of consonants is occasionally omitted after r, e.g. l8 suvarṇa, l19 sarva, pūrvataḥ. In go (end of l1), the left-hand marker is attached to the lower part of the body.</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w:t>
      </w:r>
      <w:r>
        <w:rPr>
          <w:rStyle w:val="ColorGray"/>
        </w:rPr>
        <w:t xml:space="preserve">⟨2⟩</w:t>
      </w:r>
      <w:r>
        <w:t xml:space="preserve">trāṇāṁ hārīti-putrāṇā⟨ṁ⟩ kauśikī-vara-prasāda-labdha-rājyānā⟨ṁ⟩ mātr̥-gaṇa</w:t>
      </w:r>
      <w:r>
        <w:rPr>
          <w:rStyle w:val="ColorGray"/>
        </w:rPr>
        <w:t xml:space="preserve">⟨3⟩</w:t>
      </w:r>
      <w:r>
        <w:t xml:space="preserve">-paripālitānāṁ svāmi-mahāsena-pādānuddhyātānāṁ bhagavan-nārāyaṇa</w:t>
      </w:r>
      <w:r>
        <w:rPr>
          <w:rStyle w:val="ColorGray"/>
        </w:rPr>
        <w:t xml:space="preserve">⟨4⟩</w:t>
      </w:r>
      <w:r>
        <w:t xml:space="preserve">-pras(ā)da◯-samāsādita-vara-varāha-lāṁcchanekṣaṇa-kṣaṇa-vaśīkr̥</w:t>
      </w:r>
      <w:r>
        <w:rPr>
          <w:rStyle w:val="ColorGray"/>
        </w:rPr>
        <w:t xml:space="preserve">⟨5⟩</w:t>
      </w:r>
      <w:r>
        <w:t xml:space="preserve">tārāti-maṇḍalānāṁ Aśvamedhāvabhr̥tha-snāna-pavitrīkr̥ta-vapu</w:t>
      </w:r>
      <w:r>
        <w:rPr>
          <w:rStyle w:val="ColorGray"/>
        </w:rPr>
        <w:t xml:space="preserve">⟨6⟩</w:t>
      </w:r>
      <w:r>
        <w:t xml:space="preserve">ṣāṁ caḷukyānāṁ k(u)lam ala(ṁ)kariṣṇo⟨ḥ⟩ śrī-maṅgi-yuvarājasya priya-pautraḥ</w:t>
      </w:r>
      <w:r>
        <w:rPr>
          <w:rStyle w:val="ColorGray"/>
        </w:rPr>
        <w:t xml:space="preserve"> </w:t>
      </w:r>
      <w:r>
        <w:rPr>
          <w:rStyle w:val="ColorGray"/>
        </w:rPr>
        <w:t xml:space="preserve">⟨7⟩</w:t>
      </w:r>
      <w:r>
        <w:rPr>
          <w:rStyle w:val="ColorGray"/>
        </w:rPr>
        <w:t xml:space="preserve"> </w:t>
      </w:r>
      <w:r>
        <w:t xml:space="preserve">(n)i(ja)-bhuja-bala-va(rji)tāśeṣa-bhūpāla-maṇḍalasya Aneka-tulā-dhr̥ta</w:t>
      </w:r>
      <w:r>
        <w:rPr>
          <w:rStyle w:val="ColorGray"/>
        </w:rPr>
        <w:t xml:space="preserve">⟨Page 2r⟩</w:t>
      </w:r>
      <w:r>
        <w:rPr>
          <w:rStyle w:val="ColorGray"/>
        </w:rPr>
        <w:t xml:space="preserve">⟨8⟩</w:t>
      </w:r>
      <w:r>
        <w:t xml:space="preserve">-suva(r)ṇa-dāna-varddhitāvadāta-kīrtteḥ sarvvalokāśraya-śrī-viṣṇuvarddha</w:t>
      </w:r>
      <w:r>
        <w:rPr>
          <w:rStyle w:val="ColorGray"/>
        </w:rPr>
        <w:t xml:space="preserve">⟨9⟩</w:t>
      </w:r>
      <w:r>
        <w:t xml:space="preserve">na-mahārā(ja)sya priya-tanayaḥ s⟨v⟩a-pratāpāvanata-samasta-sā</w:t>
      </w:r>
      <w:r>
        <w:rPr>
          <w:rStyle w:val="ColorGray"/>
        </w:rPr>
        <w:t xml:space="preserve">⟨10⟩</w:t>
      </w:r>
      <w:r>
        <w:t xml:space="preserve">manta-cakraś cakravartti-lakṣaṇopeto n(i?)ravadyodāra-gu⟨ṇa⟩-gaṇālaṁkr̥ta⟨ḥ⟩</w:t>
      </w:r>
      <w:r>
        <w:rPr>
          <w:rStyle w:val="ColorGray"/>
        </w:rPr>
        <w:t xml:space="preserve"> </w:t>
      </w:r>
      <w:r>
        <w:rPr>
          <w:rStyle w:val="ColorGray"/>
        </w:rPr>
        <w:t xml:space="preserve">⟨11⟩</w:t>
      </w:r>
      <w:r>
        <w:rPr>
          <w:rStyle w:val="ColorGray"/>
        </w:rPr>
        <w:t xml:space="preserve"> </w:t>
      </w:r>
      <w:r>
        <w:t xml:space="preserve">parama◯-brahmaṇyaḥ parama-māheśvaro mātā-pitr̥-pādānudhyāta</w:t>
      </w:r>
      <w:r>
        <w:rPr>
          <w:rStyle w:val="ColorGray"/>
        </w:rPr>
        <w:t xml:space="preserve">⟨12⟩</w:t>
      </w:r>
      <w:r>
        <w:t xml:space="preserve">s (s)amasta-bhu(va)nāśraya-śrī-vijayāditya-mah(ā)rājādhirāja-parameśva</w:t>
      </w:r>
      <w:r>
        <w:rPr>
          <w:rStyle w:val="ColorGray"/>
        </w:rPr>
        <w:t xml:space="preserve">⟨13⟩</w:t>
      </w:r>
      <w:r>
        <w:t xml:space="preserve">ra-bhaṭṭārakaḥ gudrahāra-viṣaye nemmaḷūru (n)āma grāmam adhivasato</w:t>
      </w:r>
      <w:r>
        <w:rPr>
          <w:rStyle w:val="ColorGray"/>
        </w:rPr>
        <w:t xml:space="preserve"> </w:t>
      </w:r>
      <w:r>
        <w:rPr>
          <w:rStyle w:val="ColorGray"/>
        </w:rPr>
        <w:t xml:space="preserve">⟨14⟩</w:t>
      </w:r>
      <w:r>
        <w:rPr>
          <w:rStyle w:val="ColorGray"/>
        </w:rPr>
        <w:t xml:space="preserve"> </w:t>
      </w:r>
      <w:r>
        <w:t xml:space="preserve">rāṣ(ṭ)ra(kūṭa)-pram(u)khān kuṭ</w:t>
      </w:r>
      <w:r>
        <w:rPr>
          <w:rStyle w:val="ColorMagenta"/>
        </w:rPr>
        <w:t xml:space="preserve">¡i!</w:t>
      </w:r>
      <w:r>
        <w:rPr>
          <w:rStyle w:val="ColorBlue"/>
        </w:rPr>
        <w:t xml:space="preserve">⟨u⟩</w:t>
      </w:r>
      <w:r>
        <w:t xml:space="preserve">ṁbinas sarvvān i⟨t⟩tham ājñāpayati</w:t>
      </w:r>
    </w:p>
    <w:p>
      <w:pPr>
        <w:pStyle w:val="BodyText"/>
      </w:pPr>
      <w:r>
        <w:t xml:space="preserve">viditam astu</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⟨15⟩</w:t>
      </w:r>
      <w:r>
        <w:rPr>
          <w:rStyle w:val="ColorGray"/>
        </w:rPr>
        <w:t xml:space="preserve"> </w:t>
      </w:r>
      <w:r>
        <w:t xml:space="preserve">vo ⟨’⟩smābhiḥ vaṁgipaṟu-v</w:t>
      </w:r>
      <w:r>
        <w:rPr>
          <w:rStyle w:val="ColorMagenta"/>
        </w:rPr>
        <w:t xml:space="preserve">¡a!</w:t>
      </w:r>
      <w:r>
        <w:rPr>
          <w:rStyle w:val="ColorBlue"/>
        </w:rPr>
        <w:t xml:space="preserve">⟨ā⟩</w:t>
      </w:r>
      <w:r>
        <w:t xml:space="preserve">stavyāya bhāradvāja-gotrāya mādhava-</w:t>
      </w:r>
      <w:r>
        <w:rPr>
          <w:rStyle w:val="ColorGray"/>
        </w:rPr>
        <w:t xml:space="preserve">⟨16⟩</w:t>
      </w:r>
      <w:r>
        <w:t xml:space="preserve">catu(r)vv(e)di-(śarmmaṇaḥ) pautrāya veda-vedāṁga-vid</w:t>
      </w:r>
      <w:r>
        <w:rPr>
          <w:rStyle w:val="ColorRed"/>
        </w:rPr>
        <w:t xml:space="preserve">¿e?</w:t>
      </w:r>
      <w:r>
        <w:rPr>
          <w:rStyle w:val="ColorGreen"/>
        </w:rPr>
        <w:t xml:space="preserve">⟨aḥ⟩</w:t>
      </w:r>
      <w:r>
        <w:t xml:space="preserve"> </w:t>
      </w:r>
      <w:r>
        <w:t xml:space="preserve">śivaśarmmaṇaḥ putrā</w:t>
      </w:r>
      <w:r>
        <w:rPr>
          <w:rStyle w:val="ColorGray"/>
        </w:rPr>
        <w:t xml:space="preserve">⟨17⟩</w:t>
      </w:r>
      <w:r>
        <w:t xml:space="preserve">ya v(e)da-(dva)yādhyāyin</w:t>
      </w:r>
      <w:r>
        <w:rPr>
          <w:rStyle w:val="ColorRed"/>
        </w:rPr>
        <w:t xml:space="preserve">¿a?</w:t>
      </w:r>
      <w:r>
        <w:rPr>
          <w:rStyle w:val="ColorGreen"/>
        </w:rPr>
        <w:t xml:space="preserve">⟨e⟩</w:t>
      </w:r>
      <w:r>
        <w:t xml:space="preserve"> </w:t>
      </w:r>
      <w:r>
        <w:t xml:space="preserve">tad-guṇopetasya mādhavaśarmmaṇe candra-gra</w:t>
      </w:r>
      <w:r>
        <w:rPr>
          <w:rStyle w:val="ColorGray"/>
        </w:rPr>
        <w:t xml:space="preserve">⟨18⟩</w:t>
      </w:r>
      <w:r>
        <w:t xml:space="preserve">haṇa-ni◯mitte Udaka-pūrvva⟨ṁ⟩ kr̥tv(ā) A(ṣ)ṭa-</w:t>
      </w:r>
      <w:r>
        <w:rPr>
          <w:rStyle w:val="ColorMagenta"/>
        </w:rPr>
        <w:t xml:space="preserve">¡kaṇḍi!</w:t>
      </w:r>
      <w:r>
        <w:rPr>
          <w:rStyle w:val="ColorBlue"/>
        </w:rPr>
        <w:t xml:space="preserve">⟨khaṇḍika⟩</w:t>
      </w:r>
      <w:r>
        <w:t xml:space="preserve">-kodravāvāpa-pramā</w:t>
      </w:r>
      <w:r>
        <w:rPr>
          <w:rStyle w:val="ColorGray"/>
        </w:rPr>
        <w:t xml:space="preserve">⟨19⟩</w:t>
      </w:r>
      <w:r>
        <w:t xml:space="preserve">(ṇaṁ) kṣetra(ṁ) sarva-kara-parihāreṇa dattaM</w:t>
      </w:r>
    </w:p>
    <w:p>
      <w:pPr>
        <w:pStyle w:val="BodyText"/>
      </w:pPr>
      <w:r>
        <w:t xml:space="preserve">pūrvataḥ</w:t>
      </w:r>
      <w:r>
        <w:t xml:space="preserve"> </w:t>
      </w:r>
      <w:r>
        <w:rPr>
          <w:i/>
          <w:iCs/>
        </w:rPr>
        <w:t xml:space="preserve">ciḷḷoruguḷa maḍḍa</w:t>
      </w:r>
      <w:r>
        <w:rPr>
          <w:rStyle w:val="ColorGray"/>
          <w:i/>
          <w:iCs/>
        </w:rPr>
        <w:t xml:space="preserve">⟨20⟩</w:t>
      </w:r>
      <w:r>
        <w:rPr>
          <w:i/>
          <w:iCs/>
        </w:rPr>
        <w:t xml:space="preserve">ṁbu</w:t>
      </w:r>
      <w:r>
        <w:t xml:space="preserve">⟨.⟩ dakṣiṇataḥ cendaṟū-boya-kṣ</w:t>
      </w:r>
      <w:r>
        <w:rPr>
          <w:rStyle w:val="ColorRed"/>
        </w:rPr>
        <w:t xml:space="preserve">¿o?</w:t>
      </w:r>
      <w:r>
        <w:rPr>
          <w:rStyle w:val="ColorGreen"/>
        </w:rPr>
        <w:t xml:space="preserve">⟨e⟩</w:t>
      </w:r>
      <w:r>
        <w:t xml:space="preserve">traM⟨.⟩ paścimataḥ</w:t>
      </w:r>
      <w:r>
        <w:t xml:space="preserve"> </w:t>
      </w:r>
      <w:r>
        <w:rPr>
          <w:i/>
          <w:iCs/>
        </w:rPr>
        <w:t xml:space="preserve">koḍu</w:t>
      </w:r>
      <w:r>
        <w:t xml:space="preserve">⟨.⟩ Uttara</w:t>
      </w:r>
      <w:r>
        <w:rPr>
          <w:rStyle w:val="ColorGray"/>
        </w:rPr>
        <w:t xml:space="preserve">⟨21⟩</w:t>
      </w:r>
      <w:r>
        <w:t xml:space="preserve">taḥ pḻāṇḍa(ṟaṁ)bu⟨.⟩ Et</w:t>
      </w:r>
      <w:r>
        <w:rPr>
          <w:rStyle w:val="ColorRed"/>
        </w:rPr>
        <w:t xml:space="preserve">¿o?</w:t>
      </w:r>
      <w:r>
        <w:rPr>
          <w:rStyle w:val="ColorGreen"/>
        </w:rPr>
        <w:t xml:space="preserve">⟨e⟩</w:t>
      </w:r>
      <w:r>
        <w:t xml:space="preserve">ṣāṁ catur-avadhi-madhya-varti kṣetraM⟨.⟩</w:t>
      </w:r>
      <w:r>
        <w:t xml:space="preserve"> </w:t>
      </w:r>
      <w:r>
        <w:rPr>
          <w:rStyle w:val="ColorMagenta"/>
        </w:rPr>
        <w:t xml:space="preserve">¡grāmā!</w:t>
      </w:r>
      <w:r>
        <w:rPr>
          <w:rStyle w:val="ColorBlue"/>
        </w:rPr>
        <w:t xml:space="preserve">⟨grāmāt⟩</w:t>
      </w:r>
      <w:r>
        <w:t xml:space="preserve"> </w:t>
      </w:r>
      <w:r>
        <w:t xml:space="preserve">pa</w:t>
      </w:r>
      <w:r>
        <w:rPr>
          <w:rStyle w:val="ColorGray"/>
        </w:rPr>
        <w:t xml:space="preserve">⟨Page 3r⟩</w:t>
      </w:r>
      <w:r>
        <w:rPr>
          <w:rStyle w:val="ColorGray"/>
        </w:rPr>
        <w:t xml:space="preserve">⟨22⟩</w:t>
      </w:r>
      <w:r>
        <w:t xml:space="preserve">ścimataḥ⟨.⟩ Asyopari na kenacid bādhā k</w:t>
      </w:r>
      <w:r>
        <w:rPr>
          <w:rStyle w:val="ColorRed"/>
        </w:rPr>
        <w:t xml:space="preserve">¿ā?</w:t>
      </w:r>
      <w:r>
        <w:rPr>
          <w:rStyle w:val="ColorGreen"/>
        </w:rPr>
        <w:t xml:space="preserve">⟨a⟩</w:t>
      </w:r>
      <w:r>
        <w:t xml:space="preserve">r</w:t>
      </w:r>
      <w:r>
        <w:rPr>
          <w:rStyle w:val="ColorRed"/>
        </w:rPr>
        <w:t xml:space="preserve">¿i?</w:t>
      </w:r>
      <w:r>
        <w:rPr>
          <w:rStyle w:val="ColorGreen"/>
        </w:rPr>
        <w:t xml:space="preserve">⟨a⟩</w:t>
      </w:r>
      <w:r>
        <w:t xml:space="preserve">ṇ</w:t>
      </w:r>
      <w:r>
        <w:rPr>
          <w:rStyle w:val="ColorRed"/>
        </w:rPr>
        <w:t xml:space="preserve">¿i?</w:t>
      </w:r>
      <w:r>
        <w:rPr>
          <w:rStyle w:val="ColorGreen"/>
        </w:rPr>
        <w:t xml:space="preserve">⟨ī⟩</w:t>
      </w:r>
      <w:r>
        <w:t xml:space="preserve">yā⟨.⟩ karoti yas sa pa</w:t>
      </w:r>
      <w:r>
        <w:rPr>
          <w:rStyle w:val="ColorGray"/>
        </w:rPr>
        <w:t xml:space="preserve">⟨23⟩</w:t>
      </w:r>
      <w:r>
        <w:t xml:space="preserve">ñca-mahāpātaka-saṁyukto bhavati⟨.⟩ vyāsenāpy uktaM</w:t>
      </w:r>
    </w:p>
    <w:p>
      <w:pPr>
        <w:pStyle w:val="BodyText"/>
      </w:pPr>
      <w:r>
        <w:t xml:space="preserve">1.</w:t>
      </w:r>
      <w:r>
        <w:t xml:space="preserve"> </w:t>
      </w:r>
      <w:hyperlink r:id="rId9">
        <w:r>
          <w:rPr>
            <w:rStyle w:val="Hyperlink"/>
          </w:rPr>
          <w:t xml:space="preserve">Anuṣṭubh</w:t>
        </w:r>
      </w:hyperlink>
    </w:p>
    <w:p>
      <w:pPr>
        <w:pStyle w:val="BodyText"/>
      </w:pPr>
      <w:r>
        <w:t xml:space="preserve">bahubhir vasu</w:t>
      </w:r>
      <w:r>
        <w:rPr>
          <w:rStyle w:val="ColorGray"/>
        </w:rPr>
        <w:t xml:space="preserve">⟨24⟩</w:t>
      </w:r>
      <w:r>
        <w:t xml:space="preserve">dhā dattā</w:t>
      </w:r>
      <w:r>
        <w:br/>
      </w:r>
      <w:r>
        <w:t xml:space="preserve">bahubhiś cānupālitā</w:t>
      </w:r>
      <w:r>
        <w:br/>
      </w:r>
      <w:r>
        <w:t xml:space="preserve">yasya yasya yadā bhūmis</w:t>
      </w:r>
      <w:r>
        <w:br/>
      </w:r>
      <w:r>
        <w:t xml:space="preserve">ta</w:t>
      </w:r>
      <w:r>
        <w:rPr>
          <w:rStyle w:val="ColorGray"/>
        </w:rPr>
        <w:t xml:space="preserve">⟨25⟩</w:t>
      </w:r>
      <w:r>
        <w:t xml:space="preserve">sya ta◯sya tadā (ph)alaM</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para-dattāṁ vā</w:t>
      </w:r>
      <w:r>
        <w:br/>
      </w:r>
      <w:r>
        <w:t xml:space="preserve">yo hareta</w:t>
      </w:r>
      <w:r>
        <w:rPr>
          <w:rStyle w:val="ColorGray"/>
        </w:rPr>
        <w:t xml:space="preserve"> </w:t>
      </w:r>
      <w:r>
        <w:rPr>
          <w:rStyle w:val="ColorGray"/>
        </w:rPr>
        <w:t xml:space="preserve">⟨26⟩</w:t>
      </w:r>
      <w:r>
        <w:rPr>
          <w:rStyle w:val="ColorGray"/>
        </w:rPr>
        <w:t xml:space="preserve"> </w:t>
      </w:r>
      <w:r>
        <w:t xml:space="preserve">vasundh</w:t>
      </w:r>
      <w:r>
        <w:rPr>
          <w:rStyle w:val="ColorRed"/>
        </w:rPr>
        <w:t xml:space="preserve">¿ā?</w:t>
      </w:r>
      <w:r>
        <w:rPr>
          <w:rStyle w:val="ColorGreen"/>
        </w:rPr>
        <w:t xml:space="preserve">⟨a⟩</w:t>
      </w:r>
      <w:r>
        <w:t xml:space="preserve">rāṁ</w:t>
      </w:r>
      <w:r>
        <w:br/>
      </w:r>
      <w:r>
        <w:t xml:space="preserve">ṣaṣṭi-v{v}a(r)ṣa-sahasrāṇi</w:t>
      </w:r>
      <w:r>
        <w:br/>
      </w:r>
      <w:r>
        <w:t xml:space="preserve">viṣ</w:t>
      </w:r>
      <w:r>
        <w:rPr>
          <w:rStyle w:val="ColorRed"/>
        </w:rPr>
        <w:t xml:space="preserve">¿ṭ?</w:t>
      </w:r>
      <w:r>
        <w:rPr>
          <w:rStyle w:val="ColorGreen"/>
        </w:rPr>
        <w:t xml:space="preserve">⟨ṭh⟩</w:t>
      </w:r>
      <w:r>
        <w:t xml:space="preserve">āyāṁ jāyate kr̥miḥ</w:t>
      </w:r>
    </w:p>
    <w:p>
      <w:pPr>
        <w:pStyle w:val="BodyText"/>
      </w:pPr>
      <w:r>
        <w:t xml:space="preserve">3.</w:t>
      </w:r>
      <w:r>
        <w:t xml:space="preserve"> </w:t>
      </w:r>
      <w:hyperlink r:id="rId9">
        <w:r>
          <w:rPr>
            <w:rStyle w:val="Hyperlink"/>
          </w:rPr>
          <w:t xml:space="preserve">Anuṣṭubh</w:t>
        </w:r>
      </w:hyperlink>
    </w:p>
    <w:p>
      <w:pPr>
        <w:pStyle w:val="BodyText"/>
      </w:pPr>
      <w:r>
        <w:t xml:space="preserve">bra</w:t>
      </w:r>
      <w:r>
        <w:rPr>
          <w:rStyle w:val="ColorGray"/>
        </w:rPr>
        <w:t xml:space="preserve">⟨27⟩</w:t>
      </w:r>
      <w:r>
        <w:t xml:space="preserve">hma-svan tu viṣaṁ ghoraṁ</w:t>
      </w:r>
      <w:r>
        <w:br/>
      </w:r>
      <w:r>
        <w:t xml:space="preserve">na viṣaṁ viṣam ucyate</w:t>
      </w:r>
      <w:r>
        <w:br/>
      </w:r>
      <w:r>
        <w:t xml:space="preserve">viṣam ekākinaṁ</w:t>
      </w:r>
      <w:r>
        <w:rPr>
          <w:rStyle w:val="ColorGray"/>
        </w:rPr>
        <w:t xml:space="preserve"> </w:t>
      </w:r>
      <w:r>
        <w:rPr>
          <w:rStyle w:val="ColorGray"/>
        </w:rPr>
        <w:t xml:space="preserve">⟨28⟩</w:t>
      </w:r>
      <w:r>
        <w:rPr>
          <w:rStyle w:val="ColorGray"/>
        </w:rPr>
        <w:t xml:space="preserve"> </w:t>
      </w:r>
      <w:r>
        <w:t xml:space="preserve">hanti</w:t>
      </w:r>
      <w:r>
        <w:br/>
      </w:r>
      <w:r>
        <w:t xml:space="preserve">brahma-svaṁ putra-pautrikaM</w:t>
      </w:r>
    </w:p>
    <w:p>
      <w:pPr>
        <w:pStyle w:val="BodyText"/>
      </w:pPr>
      <w:r>
        <w:t xml:space="preserve">Āj(ñ)</w:t>
      </w:r>
      <w:r>
        <w:rPr>
          <w:rStyle w:val="ColorMagenta"/>
        </w:rPr>
        <w:t xml:space="preserve">¡ā!</w:t>
      </w:r>
      <w:r>
        <w:rPr>
          <w:rStyle w:val="ColorBlue"/>
        </w:rPr>
        <w:t xml:space="preserve">⟨a⟩</w:t>
      </w:r>
      <w:r>
        <w:t xml:space="preserve">p(t)i boḻamma ꩜↝</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⟨8⟩</w:t>
      </w:r>
      <w:r>
        <w:t xml:space="preserve"> </w:t>
      </w:r>
      <w:r>
        <w:t xml:space="preserve">-kīrtteḥ ⬦</w:t>
      </w:r>
      <w:r>
        <w:t xml:space="preserve"> </w:t>
      </w:r>
      <w:r>
        <w:rPr>
          <w:rStyle w:val="ColorGreen"/>
          <w:i/>
          <w:iCs/>
        </w:rPr>
        <w:t xml:space="preserve">-kīrttiḥ</w:t>
      </w:r>
      <w:r>
        <w:t xml:space="preserve"> </w:t>
      </w:r>
      <w:r>
        <w:t xml:space="preserve">SR.</w:t>
      </w:r>
    </w:p>
    <w:p>
      <w:pPr>
        <w:pStyle w:val="BodyText"/>
      </w:pPr>
      <w:r>
        <w:rPr>
          <w:rStyle w:val="ColorGray"/>
        </w:rPr>
        <w:t xml:space="preserve">⟨9⟩</w:t>
      </w:r>
      <w:r>
        <w:t xml:space="preserve"> </w:t>
      </w:r>
      <w:r>
        <w:t xml:space="preserve">s⟨v⟩a-pratāpāvanata- ⬦</w:t>
      </w:r>
      <w:r>
        <w:t xml:space="preserve"> </w:t>
      </w:r>
      <w:r>
        <w:rPr>
          <w:rStyle w:val="ColorGreen"/>
          <w:i/>
          <w:iCs/>
        </w:rPr>
        <w:t xml:space="preserve">sapratāpāvanata-</w:t>
      </w:r>
      <w:r>
        <w:t xml:space="preserve"> </w:t>
      </w:r>
      <w:r>
        <w:t xml:space="preserve">SR • My correction is confirmed by the identical locus in line 9 of the</w:t>
      </w:r>
      <w:r>
        <w:t xml:space="preserve"> </w:t>
      </w:r>
      <w:hyperlink r:id="rId10">
        <w:r>
          <w:rPr>
            <w:rStyle w:val="Hyperlink"/>
          </w:rPr>
          <w:t xml:space="preserve">Dinakādu grant</w:t>
        </w:r>
      </w:hyperlink>
      <w:r>
        <w:t xml:space="preserve">. Other related grants use</w:t>
      </w:r>
      <w:r>
        <w:t xml:space="preserve"> </w:t>
      </w:r>
      <w:r>
        <w:rPr>
          <w:i/>
          <w:iCs/>
        </w:rPr>
        <w:t xml:space="preserve">sva-bhuja-bala-pratāpāvanata</w:t>
      </w:r>
      <w:r>
        <w:t xml:space="preserve"> </w:t>
      </w:r>
      <w:r>
        <w:t xml:space="preserve">or simply</w:t>
      </w:r>
      <w:r>
        <w:t xml:space="preserve"> </w:t>
      </w:r>
      <w:r>
        <w:rPr>
          <w:i/>
          <w:iCs/>
        </w:rPr>
        <w:t xml:space="preserve">pratāpāvanata</w:t>
      </w:r>
      <w:r>
        <w:t xml:space="preserve"> </w:t>
      </w:r>
      <w:r>
        <w:t xml:space="preserve">in similar contexts, while the</w:t>
      </w:r>
      <w:r>
        <w:t xml:space="preserve"> </w:t>
      </w:r>
      <w:hyperlink r:id="rId11">
        <w:r>
          <w:rPr>
            <w:rStyle w:val="Hyperlink"/>
          </w:rPr>
          <w:t xml:space="preserve">Varppoṁgu grant of Vijayāditya II</w:t>
        </w:r>
      </w:hyperlink>
      <w:r>
        <w:t xml:space="preserve"> </w:t>
      </w:r>
      <w:r>
        <w:t xml:space="preserve">reads</w:t>
      </w:r>
      <w:r>
        <w:t xml:space="preserve"> </w:t>
      </w:r>
      <w:r>
        <w:rPr>
          <w:i/>
          <w:iCs/>
        </w:rPr>
        <w:t xml:space="preserve">pratāpānurāgāvanata-samasta-sāmanta-cakkraḥ</w:t>
      </w:r>
      <w:r>
        <w:t xml:space="preserve"> </w:t>
      </w:r>
      <w:r>
        <w:t xml:space="preserve">in an almost identical context.</w:t>
      </w:r>
    </w:p>
    <w:p>
      <w:pPr>
        <w:pStyle w:val="BodyText"/>
      </w:pPr>
      <w:r>
        <w:rPr>
          <w:rStyle w:val="ColorGray"/>
        </w:rPr>
        <w:t xml:space="preserve">⟨10⟩</w:t>
      </w:r>
      <w:r>
        <w:t xml:space="preserve"> </w:t>
      </w:r>
      <w:r>
        <w:t xml:space="preserve">cakravartti- ⬦</w:t>
      </w:r>
      <w:r>
        <w:t xml:space="preserve"> </w:t>
      </w:r>
      <w:r>
        <w:rPr>
          <w:rStyle w:val="ColorGreen"/>
          <w:i/>
          <w:iCs/>
        </w:rPr>
        <w:t xml:space="preserve">cakravarttiḥ</w:t>
      </w:r>
      <w:r>
        <w:t xml:space="preserve"> </w:t>
      </w:r>
      <w:r>
        <w:t xml:space="preserve">SR.</w:t>
      </w:r>
    </w:p>
    <w:p>
      <w:pPr>
        <w:pStyle w:val="BodyText"/>
      </w:pPr>
      <w:r>
        <w:rPr>
          <w:rStyle w:val="ColorGray"/>
        </w:rPr>
        <w:t xml:space="preserve">⟨13⟩</w:t>
      </w:r>
      <w:r>
        <w:t xml:space="preserve"> </w:t>
      </w:r>
      <w:r>
        <w:t xml:space="preserve">nemmaḷūru ⬦</w:t>
      </w:r>
      <w:r>
        <w:t xml:space="preserve"> </w:t>
      </w:r>
      <w:r>
        <w:rPr>
          <w:rStyle w:val="ColorGreen"/>
          <w:i/>
          <w:iCs/>
        </w:rPr>
        <w:t xml:space="preserve">gommaḷūru</w:t>
      </w:r>
      <w:r>
        <w:t xml:space="preserve"> </w:t>
      </w:r>
      <w:r>
        <w:t xml:space="preserve">SR • The first character is indistinct in the estampage, but clear in the original. The ARIE correctly reports the name of the village as Nemmalūru.</w:t>
      </w:r>
    </w:p>
    <w:p>
      <w:pPr>
        <w:pStyle w:val="BodyText"/>
      </w:pPr>
      <w:r>
        <w:rPr>
          <w:rStyle w:val="ColorGray"/>
        </w:rPr>
        <w:t xml:space="preserve">⟨15⟩</w:t>
      </w:r>
      <w:r>
        <w:t xml:space="preserve"> </w:t>
      </w:r>
      <w:r>
        <w:t xml:space="preserve">vaṁgipaṟu- ⬦</w:t>
      </w:r>
      <w:r>
        <w:t xml:space="preserve"> </w:t>
      </w:r>
      <w:r>
        <w:rPr>
          <w:rStyle w:val="ColorGreen"/>
          <w:i/>
          <w:iCs/>
        </w:rPr>
        <w:t xml:space="preserve">vargipaṟu-</w:t>
      </w:r>
      <w:r>
        <w:t xml:space="preserve"> </w:t>
      </w:r>
      <w:r>
        <w:t xml:space="preserve">SR • SR prints his reading both in his edition and in his discussion, so it is probably not a typo. The</w:t>
      </w:r>
      <w:r>
        <w:t xml:space="preserve"> </w:t>
      </w:r>
      <w:r>
        <w:rPr>
          <w:i/>
          <w:iCs/>
        </w:rPr>
        <w:t xml:space="preserve">anusvāra</w:t>
      </w:r>
      <w:r>
        <w:t xml:space="preserve"> </w:t>
      </w:r>
      <w:r>
        <w:t xml:space="preserve">is inside the circle of</w:t>
      </w:r>
      <w:r>
        <w:t xml:space="preserve"> </w:t>
      </w:r>
      <w:r>
        <w:rPr>
          <w:i/>
          <w:iCs/>
        </w:rPr>
        <w:t xml:space="preserve">i</w:t>
      </w:r>
      <w:r>
        <w:t xml:space="preserve"> </w:t>
      </w:r>
      <w:r>
        <w:t xml:space="preserve">over</w:t>
      </w:r>
      <w:r>
        <w:t xml:space="preserve"> </w:t>
      </w:r>
      <w:r>
        <w:rPr>
          <w:i/>
          <w:iCs/>
        </w:rPr>
        <w:t xml:space="preserve">gi</w:t>
      </w:r>
      <w:r>
        <w:t xml:space="preserve">, and there is no</w:t>
      </w:r>
      <w:r>
        <w:t xml:space="preserve"> </w:t>
      </w:r>
      <w:r>
        <w:rPr>
          <w:i/>
          <w:iCs/>
        </w:rPr>
        <w:t xml:space="preserve">repha</w:t>
      </w:r>
      <w:r>
        <w:t xml:space="preserve">.</w:t>
      </w:r>
    </w:p>
    <w:p>
      <w:pPr>
        <w:pStyle w:val="BodyText"/>
      </w:pPr>
      <w:r>
        <w:rPr>
          <w:rStyle w:val="ColorGray"/>
        </w:rPr>
        <w:t xml:space="preserve">⟨16⟩</w:t>
      </w:r>
      <w:r>
        <w:t xml:space="preserve"> </w:t>
      </w:r>
      <w:r>
        <w:t xml:space="preserve">-vid</w:t>
      </w:r>
      <w:r>
        <w:rPr>
          <w:rStyle w:val="ColorRed"/>
        </w:rPr>
        <w:t xml:space="preserve">¿e?</w:t>
      </w:r>
      <w:r>
        <w:rPr>
          <w:rStyle w:val="ColorGreen"/>
        </w:rPr>
        <w:t xml:space="preserve">⟨aḥ⟩</w:t>
      </w:r>
      <w:r>
        <w:t xml:space="preserve"> </w:t>
      </w:r>
      <w:r>
        <w:t xml:space="preserve">⬦</w:t>
      </w:r>
      <w:r>
        <w:t xml:space="preserve"> </w:t>
      </w:r>
      <w:r>
        <w:rPr>
          <w:rStyle w:val="ColorGreen"/>
          <w:i/>
          <w:iCs/>
        </w:rPr>
        <w:t xml:space="preserve">-vide</w:t>
      </w:r>
      <w:r>
        <w:t xml:space="preserve"> </w:t>
      </w:r>
      <w:r>
        <w:t xml:space="preserve">SR • Though the text is meaningful without this emendation, because of this compound’s position in the sequence I believe this was the intent of the composer, so that the learnedness of each of the three generations is described with one adjective (rather than one for the grandfather, none for the father, and two for the donee).</w:t>
      </w:r>
    </w:p>
    <w:p>
      <w:pPr>
        <w:pStyle w:val="BodyText"/>
      </w:pPr>
      <w:r>
        <w:rPr>
          <w:rStyle w:val="ColorGray"/>
        </w:rPr>
        <w:t xml:space="preserve">⟨17⟩</w:t>
      </w:r>
      <w:r>
        <w:t xml:space="preserve"> </w:t>
      </w:r>
      <w:r>
        <w:t xml:space="preserve">tad-guṇopetasya ⬦</w:t>
      </w:r>
      <w:r>
        <w:t xml:space="preserve"> </w:t>
      </w:r>
      <w:r>
        <w:rPr>
          <w:rStyle w:val="ColorGreen"/>
          <w:i/>
          <w:iCs/>
        </w:rPr>
        <w:t xml:space="preserve">tadgyajñodevasya</w:t>
      </w:r>
      <w:r>
        <w:t xml:space="preserve"> </w:t>
      </w:r>
      <w:r>
        <w:t xml:space="preserve">SR.</w:t>
      </w:r>
    </w:p>
    <w:p>
      <w:pPr>
        <w:pStyle w:val="BodyText"/>
      </w:pPr>
      <w:r>
        <w:rPr>
          <w:rStyle w:val="ColorGray"/>
        </w:rPr>
        <w:t xml:space="preserve">⟨18⟩</w:t>
      </w:r>
      <w:r>
        <w:t xml:space="preserve"> </w:t>
      </w:r>
      <w:r>
        <w:t xml:space="preserve">-</w:t>
      </w:r>
      <w:r>
        <w:rPr>
          <w:rStyle w:val="ColorMagenta"/>
        </w:rPr>
        <w:t xml:space="preserve">¡kaṇḍi!</w:t>
      </w:r>
      <w:r>
        <w:rPr>
          <w:rStyle w:val="ColorBlue"/>
        </w:rPr>
        <w:t xml:space="preserve">⟨khaṇḍika⟩</w:t>
      </w:r>
      <w:r>
        <w:t xml:space="preserve">-kodravāvāpa- ⬦</w:t>
      </w:r>
      <w:r>
        <w:t xml:space="preserve"> </w:t>
      </w:r>
      <w:r>
        <w:rPr>
          <w:rStyle w:val="ColorGreen"/>
          <w:i/>
          <w:iCs/>
        </w:rPr>
        <w:t xml:space="preserve">-kaṇḍikādravāvāpa-</w:t>
      </w:r>
      <w:r>
        <w:t xml:space="preserve"> </w:t>
      </w:r>
      <w:r>
        <w:t xml:space="preserve">SR. —</w:t>
      </w:r>
      <w:r>
        <w:t xml:space="preserve"> </w:t>
      </w:r>
      <w:r>
        <w:rPr>
          <w:rStyle w:val="ColorGray"/>
        </w:rPr>
        <w:t xml:space="preserve">⟨18⟩</w:t>
      </w:r>
      <w:r>
        <w:t xml:space="preserve"> </w:t>
      </w:r>
      <w:r>
        <w:t xml:space="preserve">-pramā</w:t>
      </w:r>
      <w:r>
        <w:rPr>
          <w:rStyle w:val="ColorGray"/>
        </w:rPr>
        <w:t xml:space="preserve">⟨19⟩</w:t>
      </w:r>
      <w:r>
        <w:t xml:space="preserve">(ṇaṁ) kṣetra(ṁ) ⬦</w:t>
      </w:r>
      <w:r>
        <w:t xml:space="preserve"> </w:t>
      </w:r>
      <w:r>
        <w:rPr>
          <w:rStyle w:val="ColorGreen"/>
          <w:i/>
          <w:iCs/>
        </w:rPr>
        <w:t xml:space="preserve">-prāmā</w:t>
      </w:r>
      <w:r>
        <w:rPr>
          <w:rStyle w:val="ColorGray"/>
          <w:i/>
          <w:iCs/>
        </w:rPr>
        <w:t xml:space="preserve">⟨19⟩</w:t>
      </w:r>
      <w:r>
        <w:rPr>
          <w:rStyle w:val="ColorGreen"/>
          <w:i/>
          <w:iCs/>
        </w:rPr>
        <w:t xml:space="preserve">ṇa-kṣetrā</w:t>
      </w:r>
      <w:r>
        <w:t xml:space="preserve"> </w:t>
      </w:r>
      <w:r>
        <w:t xml:space="preserve">SR.</w:t>
      </w:r>
    </w:p>
    <w:p>
      <w:pPr>
        <w:pStyle w:val="BodyText"/>
      </w:pPr>
      <w:r>
        <w:rPr>
          <w:rStyle w:val="ColorGray"/>
        </w:rPr>
        <w:t xml:space="preserve">⟨19⟩</w:t>
      </w:r>
      <w:r>
        <w:t xml:space="preserve"> </w:t>
      </w:r>
      <w:r>
        <w:t xml:space="preserve">ciḷḷoruguḷa maḍḍa</w:t>
      </w:r>
      <w:r>
        <w:rPr>
          <w:rStyle w:val="ColorGray"/>
        </w:rPr>
        <w:t xml:space="preserve">⟨20⟩</w:t>
      </w:r>
      <w:r>
        <w:t xml:space="preserve">ṁbu ⬦</w:t>
      </w:r>
      <w:r>
        <w:t xml:space="preserve"> </w:t>
      </w:r>
      <w:r>
        <w:rPr>
          <w:rStyle w:val="ColorGreen"/>
          <w:i/>
          <w:iCs/>
        </w:rPr>
        <w:t xml:space="preserve">ciṭṭeruguṭa maṭṭa</w:t>
      </w:r>
      <w:r>
        <w:rPr>
          <w:rStyle w:val="ColorGray"/>
          <w:i/>
          <w:iCs/>
        </w:rPr>
        <w:t xml:space="preserve">⟨20⟩</w:t>
      </w:r>
      <w:r>
        <w:rPr>
          <w:rStyle w:val="ColorGreen"/>
          <w:i/>
          <w:iCs/>
        </w:rPr>
        <w:t xml:space="preserve">bu</w:t>
      </w:r>
      <w:r>
        <w:t xml:space="preserve"> </w:t>
      </w:r>
      <w:r>
        <w:t xml:space="preserve">SR. —</w:t>
      </w:r>
      <w:r>
        <w:t xml:space="preserve"> </w:t>
      </w:r>
      <w:r>
        <w:rPr>
          <w:rStyle w:val="ColorGray"/>
        </w:rPr>
        <w:t xml:space="preserve">⟨19⟩</w:t>
      </w:r>
      <w:r>
        <w:t xml:space="preserve"> </w:t>
      </w:r>
      <w:r>
        <w:t xml:space="preserve">cendaṟū-boya- ⬦</w:t>
      </w:r>
      <w:r>
        <w:t xml:space="preserve"> </w:t>
      </w:r>
      <w:r>
        <w:rPr>
          <w:rStyle w:val="ColorGreen"/>
          <w:i/>
          <w:iCs/>
        </w:rPr>
        <w:t xml:space="preserve">ṣendaṟūbāya</w:t>
      </w:r>
      <w:r>
        <w:t xml:space="preserve"> </w:t>
      </w:r>
      <w:r>
        <w:t xml:space="preserve">SR • The reading is unambiguous with the combined testimony of the estampage and the photos. The intent may have been</w:t>
      </w:r>
      <w:r>
        <w:t xml:space="preserve"> </w:t>
      </w:r>
      <w:r>
        <w:rPr>
          <w:i/>
          <w:iCs/>
        </w:rPr>
        <w:t xml:space="preserve">cendaṟūr-boya-</w:t>
      </w:r>
      <w:r>
        <w:t xml:space="preserve">; compare the toponym</w:t>
      </w:r>
      <w:r>
        <w:t xml:space="preserve"> </w:t>
      </w:r>
      <w:r>
        <w:rPr>
          <w:i/>
          <w:iCs/>
        </w:rPr>
        <w:t xml:space="preserve">cendaṟura</w:t>
      </w:r>
      <w:r>
        <w:t xml:space="preserve"> </w:t>
      </w:r>
      <w:r>
        <w:t xml:space="preserve">in the</w:t>
      </w:r>
      <w:r>
        <w:t xml:space="preserve"> </w:t>
      </w:r>
      <w:hyperlink r:id="rId12">
        <w:r>
          <w:rPr>
            <w:rStyle w:val="Hyperlink"/>
          </w:rPr>
          <w:t xml:space="preserve">Cendalūr plates of Maṅgi Yuvarāja</w:t>
        </w:r>
      </w:hyperlink>
      <w:r>
        <w:t xml:space="preserve">.</w:t>
      </w:r>
    </w:p>
    <w:p>
      <w:pPr>
        <w:pStyle w:val="BodyText"/>
      </w:pPr>
      <w:r>
        <w:rPr>
          <w:rStyle w:val="ColorGray"/>
        </w:rPr>
        <w:t xml:space="preserve">⟨21⟩</w:t>
      </w:r>
      <w:r>
        <w:t xml:space="preserve"> </w:t>
      </w:r>
      <w:r>
        <w:t xml:space="preserve">pḻāṇḍa(ṟaṁ)bu ⬦</w:t>
      </w:r>
      <w:r>
        <w:t xml:space="preserve"> </w:t>
      </w:r>
      <w:r>
        <w:rPr>
          <w:rStyle w:val="ColorGreen"/>
          <w:i/>
          <w:iCs/>
        </w:rPr>
        <w:t xml:space="preserve">ppāṇḍaṟabu</w:t>
      </w:r>
      <w:r>
        <w:t xml:space="preserve"> </w:t>
      </w:r>
      <w:r>
        <w:t xml:space="preserve">SR • Being unable to interpret this word, I am not entirely certain of its reading, but the photos of the original plate are fairly unambiguous in spite of corrosion.</w:t>
      </w:r>
    </w:p>
    <w:p>
      <w:pPr>
        <w:pStyle w:val="BodyText"/>
      </w:pPr>
      <w:r>
        <w:rPr>
          <w:rStyle w:val="ColorGray"/>
        </w:rPr>
        <w:t xml:space="preserve">⟨27⟩</w:t>
      </w:r>
      <w:r>
        <w:t xml:space="preserve"> </w:t>
      </w:r>
      <w:r>
        <w:t xml:space="preserve">-svan tu ⬦</w:t>
      </w:r>
      <w:r>
        <w:t xml:space="preserve"> </w:t>
      </w:r>
      <w:r>
        <w:rPr>
          <w:rStyle w:val="ColorGreen"/>
          <w:i/>
          <w:iCs/>
        </w:rPr>
        <w:t xml:space="preserve">-svantya</w:t>
      </w:r>
      <w:r>
        <w:t xml:space="preserve"> </w:t>
      </w:r>
      <w:r>
        <w:t xml:space="preserve">SR.</w:t>
      </w:r>
    </w:p>
    <w:p>
      <w:pPr>
        <w:pStyle w:val="BodyText"/>
      </w:pPr>
      <w:r>
        <w:rPr>
          <w:rStyle w:val="ColorGray"/>
        </w:rPr>
        <w:t xml:space="preserve">⟨28⟩</w:t>
      </w:r>
      <w:r>
        <w:t xml:space="preserve"> </w:t>
      </w:r>
      <w:r>
        <w:t xml:space="preserve">boḻamma ⬦</w:t>
      </w:r>
      <w:r>
        <w:t xml:space="preserve"> </w:t>
      </w:r>
      <w:r>
        <w:rPr>
          <w:rStyle w:val="ColorGreen"/>
          <w:i/>
          <w:iCs/>
        </w:rPr>
        <w:t xml:space="preserve">bhauṟama</w:t>
      </w:r>
      <w:r>
        <w:t xml:space="preserve"> </w:t>
      </w:r>
      <w:r>
        <w:t xml:space="preserve">SR • The spelling of this name is</w:t>
      </w:r>
      <w:r>
        <w:t xml:space="preserve"> </w:t>
      </w:r>
      <w:r>
        <w:rPr>
          <w:i/>
          <w:iCs/>
        </w:rPr>
        <w:t xml:space="preserve">boḻama</w:t>
      </w:r>
      <w:r>
        <w:t xml:space="preserve"> </w:t>
      </w:r>
      <w:r>
        <w:t xml:space="preserve">in the</w:t>
      </w:r>
      <w:r>
        <w:t xml:space="preserve"> </w:t>
      </w:r>
      <w:hyperlink r:id="rId13">
        <w:r>
          <w:rPr>
            <w:rStyle w:val="Hyperlink"/>
          </w:rPr>
          <w:t xml:space="preserve">Zulakallu</w:t>
        </w:r>
      </w:hyperlink>
      <w:r>
        <w:t xml:space="preserve"> </w:t>
      </w:r>
      <w:r>
        <w:t xml:space="preserve">and</w:t>
      </w:r>
      <w:r>
        <w:t xml:space="preserve"> </w:t>
      </w:r>
      <w:hyperlink r:id="rId14">
        <w:r>
          <w:rPr>
            <w:rStyle w:val="Hyperlink"/>
          </w:rPr>
          <w:t xml:space="preserve">Eḍeru</w:t>
        </w:r>
      </w:hyperlink>
      <w:r>
        <w:t xml:space="preserve"> </w:t>
      </w:r>
      <w:r>
        <w:t xml:space="preserve">of plates Vijayāditya I. The identity has also been pointed out by G. S. Gai (</w:t>
      </w:r>
      <w:hyperlink r:id="rId15">
        <w:r>
          <w:rPr>
            <w:rStyle w:val="Hyperlink"/>
          </w:rPr>
          <w:t xml:space="preserve">1965–1966</w:t>
        </w:r>
      </w:hyperlink>
      <w:r>
        <w:t xml:space="preserve">, p. 301, n. 1). The subscript</w:t>
      </w:r>
      <w:r>
        <w:t xml:space="preserve"> </w:t>
      </w:r>
      <w:r>
        <w:rPr>
          <w:i/>
          <w:iCs/>
        </w:rPr>
        <w:t xml:space="preserve">m</w:t>
      </w:r>
      <w:r>
        <w:t xml:space="preserve"> </w:t>
      </w:r>
      <w:r>
        <w:t xml:space="preserve">in the present instance is small due to lack of space in the bottom line, but clear and unambiguous in photos of the original. —</w:t>
      </w:r>
      <w:r>
        <w:t xml:space="preserve"> </w:t>
      </w:r>
      <w:r>
        <w:rPr>
          <w:rStyle w:val="ColorGray"/>
        </w:rPr>
        <w:t xml:space="preserve">⟨28⟩</w:t>
      </w:r>
      <w:r>
        <w:t xml:space="preserve"> </w:t>
      </w:r>
      <w:r>
        <w:t xml:space="preserve">꩜↝ ⬦</w:t>
      </w:r>
      <w:r>
        <w:t xml:space="preserve"> </w:t>
      </w:r>
      <w:r>
        <w:rPr>
          <w:rStyle w:val="ColorGreen"/>
          <w:i/>
          <w:iCs/>
        </w:rPr>
        <w:t xml:space="preserve">śrī</w:t>
      </w:r>
      <w:r>
        <w:t xml:space="preserve"> </w:t>
      </w:r>
      <w:r>
        <w:t xml:space="preserve">SR • There is definitely no alphabetic text here. SR may have rendered the symbols as</w:t>
      </w:r>
      <w:r>
        <w:t xml:space="preserve"> </w:t>
      </w:r>
      <w:r>
        <w:rPr>
          <w:i/>
          <w:iCs/>
        </w:rPr>
        <w:t xml:space="preserve">śrī</w:t>
      </w:r>
      <w:r>
        <w:t xml:space="preserve">, neglecting to note that this is represented by a symbol.</w:t>
      </w:r>
    </w:p>
    <w:p>
      <w:pPr>
        <w:pStyle w:val="Heading1"/>
      </w:pPr>
      <w:r>
        <w:t xml:space="preserve">Translation</w:t>
      </w:r>
    </w:p>
    <w:p>
      <w:pPr>
        <w:pStyle w:val="Heading2"/>
      </w:pPr>
      <w:r>
        <w:t xml:space="preserve">Plates</w:t>
      </w:r>
    </w:p>
    <w:p>
      <w:pPr>
        <w:pStyle w:val="FirstParagraph"/>
      </w:pPr>
      <w:r>
        <w:rPr>
          <w:rStyle w:val="ColorGray"/>
        </w:rPr>
        <w:t xml:space="preserve">⟨1–14⟩</w:t>
      </w:r>
      <w:r>
        <w:t xml:space="preserve"> </w:t>
      </w:r>
      <w:r>
        <w:t xml:space="preserve">Greetings. The dear grandson of His Majesty Maṅgi Yuvarāja, who was eager to adorn the lineage of the majestic Caḷukyas—who are of the Mānavya gotra which is praised by the entire world, who are sons of Hārīti,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Viṣṇuvardhana (III), the shelter of all the world (</w:t>
      </w:r>
      <w:r>
        <w:rPr>
          <w:i/>
          <w:iCs/>
        </w:rPr>
        <w:t xml:space="preserve">sarva-lokāśraya</w:t>
      </w:r>
      <w:r>
        <w:t xml:space="preserve">), who has fended off</w:t>
      </w:r>
      <w:r>
        <w:rPr>
          <w:rStyle w:val="FootnoteReference"/>
        </w:rPr>
        <w:footnoteReference w:id="16"/>
      </w:r>
      <w:r>
        <w:t xml:space="preserve"> </w:t>
      </w:r>
      <w:r>
        <w:t xml:space="preserve">the entire circle of kings by the power of his own arm, and whose resplendent fame was heightened by gifts of gold weighed in many a balance (against his body); ⟨namely⟩ His Majesty the supremely pious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shelter of the entire universe (</w:t>
      </w:r>
      <w:r>
        <w:rPr>
          <w:i/>
          <w:iCs/>
        </w:rPr>
        <w:t xml:space="preserve">samasta-bhuvanāśraya</w:t>
      </w:r>
      <w:r>
        <w:t xml:space="preserve">), supreme devotee of Maheśvara, who was deliberately appointed (as heir) by his mother and father, who has the complete circle of peripheral rulers (</w:t>
      </w:r>
      <w:r>
        <w:rPr>
          <w:i/>
          <w:iCs/>
        </w:rPr>
        <w:t xml:space="preserve">sāmanta</w:t>
      </w:r>
      <w:r>
        <w:t xml:space="preserve">) bowed down through his own prowess, who possesses the bodily marks of a universal sovereign (</w:t>
      </w:r>
      <w:r>
        <w:rPr>
          <w:i/>
          <w:iCs/>
        </w:rPr>
        <w:t xml:space="preserve">cakravartin</w:t>
      </w:r>
      <w:r>
        <w:t xml:space="preserve">) and who is adorned by a host of irreproachable (</w:t>
      </w:r>
      <w:r>
        <w:rPr>
          <w:i/>
          <w:iCs/>
        </w:rPr>
        <w:t xml:space="preserve">niravadya</w:t>
      </w:r>
      <w:r>
        <w:t xml:space="preserve">) and noble virtues, commands all householders (</w:t>
      </w:r>
      <w:r>
        <w:rPr>
          <w:i/>
          <w:iCs/>
        </w:rPr>
        <w:t xml:space="preserve">kuṭumbin</w:t>
      </w:r>
      <w:r>
        <w:t xml:space="preserve">)—including foremost the territorial overseers (</w:t>
      </w:r>
      <w:r>
        <w:rPr>
          <w:i/>
          <w:iCs/>
        </w:rPr>
        <w:t xml:space="preserve">rāṣṭrakūṭa</w:t>
      </w:r>
      <w:r>
        <w:t xml:space="preserve">)—inhabiting the village Nemmaḷūru in Gudrahāra district (</w:t>
      </w:r>
      <w:r>
        <w:rPr>
          <w:i/>
          <w:iCs/>
        </w:rPr>
        <w:t xml:space="preserve">viṣaya</w:t>
      </w:r>
      <w:r>
        <w:t xml:space="preserve">) as follows:</w:t>
      </w:r>
    </w:p>
    <w:p>
      <w:pPr>
        <w:pStyle w:val="BodyText"/>
      </w:pPr>
      <w:r>
        <w:rPr>
          <w:rStyle w:val="ColorGray"/>
        </w:rPr>
        <w:t xml:space="preserve">⟨14–19⟩</w:t>
      </w:r>
      <w:r>
        <w:t xml:space="preserve"> </w:t>
      </w:r>
      <w:r>
        <w:t xml:space="preserve">Let it be known to you that on the occasion of an eclipse of the moon we have given, sanctified by (a libation of) water and with a remission of all taxes, a field to the extent ⟨sufficient for sowing⟩ eight</w:t>
      </w:r>
      <w:r>
        <w:t xml:space="preserve"> </w:t>
      </w:r>
      <w:r>
        <w:rPr>
          <w:i/>
          <w:iCs/>
        </w:rPr>
        <w:t xml:space="preserve">khaṇḍika</w:t>
      </w:r>
      <w:r>
        <w:t xml:space="preserve">s of</w:t>
      </w:r>
      <w:r>
        <w:t xml:space="preserve"> </w:t>
      </w:r>
      <w:r>
        <w:rPr>
          <w:i/>
          <w:iCs/>
        </w:rPr>
        <w:t xml:space="preserve">kodrava</w:t>
      </w:r>
      <w:r>
        <w:t xml:space="preserve"> </w:t>
      </w:r>
      <w:r>
        <w:t xml:space="preserve">to the grandson of the</w:t>
      </w:r>
      <w:r>
        <w:t xml:space="preserve"> </w:t>
      </w:r>
      <w:r>
        <w:rPr>
          <w:i/>
          <w:iCs/>
        </w:rPr>
        <w:t xml:space="preserve">caturvedin</w:t>
      </w:r>
      <w:r>
        <w:t xml:space="preserve"> </w:t>
      </w:r>
      <w:r>
        <w:t xml:space="preserve">Mādhavaśarman, the son of Śivaśarman who was versed in the Vedas and the Vedāṅgas</w:t>
      </w:r>
      <w:r>
        <w:rPr>
          <w:rStyle w:val="FootnoteReference"/>
        </w:rPr>
        <w:footnoteReference w:id="17"/>
      </w:r>
      <w:r>
        <w:t xml:space="preserve"> </w:t>
      </w:r>
      <w:r>
        <w:t xml:space="preserve">⟨namely⟩ Mādhavaśarman, a student of two Vedas, a resident of Vaṁgipaṟu of the Bhāradvāja</w:t>
      </w:r>
      <w:r>
        <w:t xml:space="preserve"> </w:t>
      </w:r>
      <w:r>
        <w:rPr>
          <w:i/>
          <w:iCs/>
        </w:rPr>
        <w:t xml:space="preserve">gotra</w:t>
      </w:r>
      <w:r>
        <w:t xml:space="preserve"> </w:t>
      </w:r>
      <w:r>
        <w:t xml:space="preserve">who is endowed with his ⟨i.e. his father’s⟩ virtues.</w:t>
      </w:r>
    </w:p>
    <w:p>
      <w:pPr>
        <w:pStyle w:val="BodyText"/>
      </w:pPr>
      <w:r>
        <w:rPr>
          <w:rStyle w:val="ColorGray"/>
        </w:rPr>
        <w:t xml:space="preserve">⟨19–23⟩</w:t>
      </w:r>
      <w:r>
        <w:t xml:space="preserve"> </w:t>
      </w:r>
      <w:r>
        <w:t xml:space="preserve">To the east,</w:t>
      </w:r>
      <w:r>
        <w:t xml:space="preserve"> </w:t>
      </w:r>
      <w:r>
        <w:rPr>
          <w:i/>
          <w:iCs/>
        </w:rPr>
        <w:t xml:space="preserve">ciḷḷoruguḷa maḍḍaṁbu</w:t>
      </w:r>
      <w:r>
        <w:t xml:space="preserve">. To the south, the field of Cendaṟū-boya. To the west, a stream (</w:t>
      </w:r>
      <w:r>
        <w:rPr>
          <w:i/>
          <w:iCs/>
        </w:rPr>
        <w:t xml:space="preserve">koḍu</w:t>
      </w:r>
      <w:r>
        <w:t xml:space="preserve">). To the north, Pḻāṇḍaṟaṁbu. The field is located amid these four boundaries. To the west of the village. Let no-one pose an obstacle (to his enjoyment of his rights) over it. He who does so shall be conjoined with the five great sins. Vyāsa too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The property of a Brahmin is terrible poison: it is not ⟨actual⟩ poison that is ⟨properly⟩ called poison. Poison kills just the one man, while ⟨seizing⟩ the property of a Brahmin ⟨destroys⟩ his progeny.</w:t>
      </w:r>
    </w:p>
    <w:p>
      <w:pPr>
        <w:pStyle w:val="BodyText"/>
      </w:pPr>
      <w:r>
        <w:rPr>
          <w:rStyle w:val="ColorGray"/>
        </w:rPr>
        <w:t xml:space="preserve">⟨28⟩</w:t>
      </w:r>
      <w:r>
        <w:t xml:space="preserve"> </w:t>
      </w:r>
      <w:r>
        <w:t xml:space="preserve">The executor (</w:t>
      </w:r>
      <w:r>
        <w:rPr>
          <w:i/>
          <w:iCs/>
        </w:rPr>
        <w:t xml:space="preserve">ājñapti</w:t>
      </w:r>
      <w:r>
        <w:t xml:space="preserve">) is Boḻamma.</w:t>
      </w:r>
    </w:p>
    <w:p>
      <w:pPr>
        <w:pStyle w:val="Heading1"/>
      </w:pPr>
      <w:r>
        <w:t xml:space="preserve">Commentary</w:t>
      </w:r>
    </w:p>
    <w:p>
      <w:pPr>
        <w:pStyle w:val="FirstParagraph"/>
      </w:pPr>
      <w:r>
        <w:t xml:space="preserve">There is a present-day village Nimmaluru at 16° 16′ 13.08″ N, 80° 59′ 48.12″ E, in Gudivada taluk of Krishna district (so probably in Gudrahāra Viṣaya), though not in West Godavari district, where the inscription is said to have been found. There is a stream (</w:t>
      </w:r>
      <w:r>
        <w:rPr>
          <w:i/>
          <w:iCs/>
        </w:rPr>
        <w:t xml:space="preserve">koḍu</w:t>
      </w:r>
      <w:r>
        <w:t xml:space="preserve">?) to the west of this village, but I find no names recognisable from the grant in its vicinity.</w:t>
      </w:r>
    </w:p>
    <w:p>
      <w:pPr>
        <w:pStyle w:val="Heading1"/>
      </w:pPr>
      <w:r>
        <w:t xml:space="preserve">Bibliography</w:t>
      </w:r>
    </w:p>
    <w:p>
      <w:pPr>
        <w:pStyle w:val="FirstParagraph"/>
      </w:pPr>
      <w:r>
        <w:t xml:space="preserve">Reported in ARIE 1934–35, p. 7, appendix A/1934-35, № 19 without discussion of details. Edited by R. Subba Rao (1930–1931, № 1), probably from the original as well as from estampages, with estampages (of the plates and the seal) and translation. The present edition by Dániel Balogh is based on photos of the original taken by myself in February 2023 at at the Andhra Sahitya Parishad Museum, Kakinada, collated with Subba Rao’s edition and his facsimiles. Minor typographic mistakes in Subba Rao’s edition are ignored in the apparatus here. Metadata associated with this edition have been published separately in Balogh 2026, available on</w:t>
      </w:r>
      <w:r>
        <w:t xml:space="preserve"> </w:t>
      </w:r>
      <w:hyperlink r:id="rId18">
        <w:r>
          <w:rPr>
            <w:rStyle w:val="Hyperlink"/>
          </w:rPr>
          <w:t xml:space="preserve">Zenodo</w:t>
        </w:r>
      </w:hyperlink>
      <w:r>
        <w:t xml:space="preserve">.</w:t>
      </w:r>
    </w:p>
    <w:p>
      <w:pPr>
        <w:pStyle w:val="Heading2"/>
      </w:pPr>
      <w:r>
        <w:t xml:space="preserve">Primary</w:t>
      </w:r>
    </w:p>
    <w:p>
      <w:pPr>
        <w:pStyle w:val="FirstParagraph"/>
      </w:pPr>
      <w:r>
        <w:rPr>
          <w:b/>
          <w:bCs/>
        </w:rPr>
        <w:t xml:space="preserve">[SR]</w:t>
      </w:r>
      <w:r>
        <w:t xml:space="preserve"> </w:t>
      </w:r>
      <w:r>
        <w:t xml:space="preserve">Subba Rao, R. 1930–1931. “Two new copper plate inscriptions of Vijayaditya I.” JAHRS 5, pp. 51–56. Item 1.</w:t>
      </w:r>
    </w:p>
    <w:p>
      <w:pPr>
        <w:pStyle w:val="Heading2"/>
      </w:pPr>
      <w:r>
        <w:t xml:space="preserve">Secondary</w:t>
      </w:r>
    </w:p>
    <w:p>
      <w:pPr>
        <w:pStyle w:val="FirstParagraph"/>
      </w:pPr>
      <w:r>
        <w:t xml:space="preserve">ARIE 1934–35.</w:t>
      </w:r>
      <w:r>
        <w:t xml:space="preserve"> </w:t>
      </w:r>
      <w:r>
        <w:rPr>
          <w:i/>
          <w:iCs/>
        </w:rPr>
        <w:t xml:space="preserve">Annual report on South Indian epigraphy for the year ending 31st March 1935</w:t>
      </w:r>
      <w:r>
        <w:t xml:space="preserve">. Edited by C. R. Krishnamacharlu. Delhi: Manager of Publications, 1938. Page 7, appendixes A/1934-35, item 19.</w:t>
      </w:r>
    </w:p>
    <w:p>
      <w:pPr>
        <w:pStyle w:val="BodyText"/>
      </w:pPr>
      <w:r>
        <w:t xml:space="preserve">Balogh, Dániel. 2026. “Metadata for the DHARMA editions of Veṅgī Cālukya copper plates.” Zenodo. DOI:</w:t>
      </w:r>
      <w:r>
        <w:t xml:space="preserve"> </w:t>
      </w:r>
      <w:hyperlink r:id="rId19">
        <w:r>
          <w:rPr>
            <w:rStyle w:val="Hyperlink"/>
          </w:rPr>
          <w:t xml:space="preserve">10.5281/zenodo.22827003</w:t>
        </w:r>
      </w:hyperlink>
      <w:r>
        <w:t xml:space="preserve">.</w:t>
      </w:r>
      <w:r>
        <w:t xml:space="preserve"> </w:t>
      </w:r>
      <w:hyperlink r:id="rId1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This reading strikes me as strange; I would expect "conquered" here. See the apparatus to line 7.</w:t>
      </w:r>
    </w:p>
  </w:footnote>
  <w:footnote w:id="17">
    <w:p>
      <w:pPr>
        <w:pStyle w:val="FootnoteText"/>
      </w:pPr>
      <w:r>
        <w:rPr>
          <w:rStyle w:val="FootnoteReference"/>
        </w:rPr>
        <w:footnoteRef/>
      </w:r>
      <w:r>
        <w:t xml:space="preserve"> </w:t>
      </w:r>
      <w:r>
        <w:t xml:space="preserve">As per the received text, the qualification “versed in the Vedas and the Vedāṅgas” applies to the donee, but I believe it was intended to describe his father; see the apparatus to line 16.</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https://dharmalekha.info/bibliography/entry/Gai1965-1966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18" TargetMode="External" /><Relationship Type="http://schemas.openxmlformats.org/officeDocument/2006/relationships/hyperlink" Id="rId14" Target="https://dharmalekha.info/texts/INSVengiCalukya00020" TargetMode="External" /><Relationship Type="http://schemas.openxmlformats.org/officeDocument/2006/relationships/hyperlink" Id="rId12" Target="https://dharmalekha.info/texts/INSVengiCalukya00050" TargetMode="External" /><Relationship Type="http://schemas.openxmlformats.org/officeDocument/2006/relationships/hyperlink" Id="rId11" Target="https://dharmalekha.info/texts/INSVengiCalukya00065" TargetMode="External" /><Relationship Type="http://schemas.openxmlformats.org/officeDocument/2006/relationships/hyperlink" Id="rId10" Target="https://dharmalekha.info/texts/INSVengiCalukya00067"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5" Target="https://dharmalekha.info/bibliography/entry/Gai1965-1966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18" TargetMode="External" /><Relationship Type="http://schemas.openxmlformats.org/officeDocument/2006/relationships/hyperlink" Id="rId14" Target="https://dharmalekha.info/texts/INSVengiCalukya00020" TargetMode="External" /><Relationship Type="http://schemas.openxmlformats.org/officeDocument/2006/relationships/hyperlink" Id="rId12" Target="https://dharmalekha.info/texts/INSVengiCalukya00050" TargetMode="External" /><Relationship Type="http://schemas.openxmlformats.org/officeDocument/2006/relationships/hyperlink" Id="rId11" Target="https://dharmalekha.info/texts/INSVengiCalukya00065" TargetMode="External" /><Relationship Type="http://schemas.openxmlformats.org/officeDocument/2006/relationships/hyperlink" Id="rId10" Target="https://dharmalekha.info/texts/INSVengiCalukya00067"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Nemmaḷūru grant of Vijayāditya I</dc:title>
  <dc:creator>Dániel Balogh</dc:creator>
  <cp:keywords/>
  <dcterms:created xsi:type="dcterms:W3CDTF">2026-10-26T22:06:22Z</dcterms:created>
  <dcterms:modified xsi:type="dcterms:W3CDTF">2026-10-26T22:06:22Z</dcterms:modified>
</cp:coreProperties>
</file>

<file path=docProps/custom.xml><?xml version="1.0" encoding="utf-8"?>
<Properties xmlns="http://schemas.openxmlformats.org/officeDocument/2006/custom-properties" xmlns:vt="http://schemas.openxmlformats.org/officeDocument/2006/docPropsVTypes"/>
</file>