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Eḍeru plates of Amma I</w:t>
      </w:r>
    </w:p>
    <w:p>
      <w:pPr>
        <w:pStyle w:val="Author"/>
      </w:pPr>
      <w:r>
        <w:t xml:space="preserve">Dániel Balogh</w:t>
      </w:r>
    </w:p>
    <w:p>
      <w:pPr>
        <w:pStyle w:val="FirstParagraph"/>
      </w:pPr>
      <w:r>
        <w:t xml:space="preserve">Alternative titles: Eduru plates of Amma I − Ideru plates of Amma I</w:t>
      </w:r>
    </w:p>
    <w:p>
      <w:pPr>
        <w:pStyle w:val="BodyText"/>
      </w:pPr>
      <w:r>
        <w:t xml:space="preserve">Author of digital edition: Dániel Balogh</w:t>
      </w:r>
    </w:p>
    <w:p>
      <w:pPr>
        <w:pStyle w:val="BodyText"/>
      </w:pPr>
      <w:r>
        <w:t xml:space="preserve">Identifier: DHARMA_INSVengiCalukya00028</w:t>
      </w:r>
    </w:p>
    <w:p>
      <w:pPr>
        <w:pStyle w:val="BodyText"/>
      </w:pPr>
      <w:r>
        <w:t xml:space="preserve">Repository: Eastern Cālukya (tfb-vengicalukya-epigraphy)</w:t>
      </w:r>
    </w:p>
    <w:p>
      <w:pPr>
        <w:pStyle w:val="BodyText"/>
      </w:pPr>
      <w:r>
        <w:t xml:space="preserve">File path: xml/DHARMA_INSVengiCalukya00028.xml</w:t>
      </w:r>
    </w:p>
    <w:p>
      <w:pPr>
        <w:pStyle w:val="BodyText"/>
      </w:pPr>
      <w:r>
        <w:t xml:space="preserve">Language: Sanskrit [Southern Brāhmī (unspecified)]</w:t>
      </w:r>
    </w:p>
    <w:p>
      <w:pPr>
        <w:pStyle w:val="BodyText"/>
      </w:pPr>
      <w:r>
        <w:t xml:space="preserve">Commit: 2026-10-14 16:53 (deb89dd), last modified 2026-09-18 17:45 (0273b8a)</w:t>
      </w:r>
    </w:p>
    <w:p>
      <w:pPr>
        <w:pStyle w:val="Heading1"/>
      </w:pPr>
      <w:r>
        <w:t xml:space="preserve">Palaeographic description</w:t>
      </w:r>
    </w:p>
    <w:p>
      <w:pPr>
        <w:pStyle w:val="FirstParagraph"/>
      </w:pPr>
      <w:r>
        <w:t xml:space="preserve">Final n is simplified and reduced; final M is drastically simplified to an S shape in addition to being reduced. Both sport a tail that curves to the right at the top, but is not sinuous.</w:t>
      </w:r>
    </w:p>
    <w:p>
      <w:pPr>
        <w:pStyle w:val="BodyText"/>
      </w:pPr>
      <w:r>
        <w:t xml:space="preserve">Original punctuation marks are plain single and double verticals, slightly shorter than a character body.</w:t>
      </w:r>
    </w:p>
    <w:p>
      <w:pPr>
        <w:pStyle w:val="BodyText"/>
      </w:pPr>
      <w:r>
        <w:t xml:space="preserve">Other palaeographic observations. Very elegant calligraphic writing. Anusvāra is a small circle (occasionally a large dot) at head height. It is moved to the next line in l 27 catuścatvāriṁśad, l39 bhaṁga, l58 polakuṁgoṇḍa, l60 cāmiṟeniguṁṭṭa, and split off by space near the binding hole in l6. Visarga is moved to the next line in l55 paścimataḥ. Consonants are doubled not only after r, but often also before y and after an anusvāra.</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t xml:space="preserve">1.</w:t>
      </w:r>
      <w:r>
        <w:t xml:space="preserve"> </w:t>
      </w:r>
      <w:hyperlink r:id="rId9">
        <w:r>
          <w:rPr>
            <w:rStyle w:val="Hyperlink"/>
          </w:rPr>
          <w:t xml:space="preserve">Anuṣṭubh</w:t>
        </w:r>
      </w:hyperlink>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sarvvākāram aśeṣasya</w:t>
      </w:r>
      <w:r>
        <w:br/>
      </w:r>
      <w:r>
        <w:t xml:space="preserve">jagataḥ sarvadā śivaṁ</w:t>
      </w:r>
      <w:r>
        <w:br/>
      </w:r>
      <w:r>
        <w:t xml:space="preserve">go-brāhmaṇa-nr̥pāṇāṁ</w:t>
      </w:r>
      <w:r>
        <w:t xml:space="preserve"> </w:t>
      </w:r>
      <w:r>
        <w:rPr>
          <w:rStyle w:val="ColorMagenta"/>
        </w:rPr>
        <w:t xml:space="preserve">¡cc!</w:t>
      </w:r>
      <w:r>
        <w:rPr>
          <w:rStyle w:val="ColorBlue"/>
        </w:rPr>
        <w:t xml:space="preserve">⟨c⟩</w:t>
      </w:r>
      <w:r>
        <w:t xml:space="preserve">a</w:t>
      </w:r>
      <w:r>
        <w:br/>
      </w:r>
      <w:r>
        <w:t xml:space="preserve">śivaṁ bhavatu sarvadā∥</w:t>
      </w:r>
    </w:p>
    <w:p>
      <w:pPr>
        <w:pStyle w:val="BodyText"/>
      </w:pPr>
      <w:r>
        <w:rPr>
          <w:rStyle w:val="ColorGray"/>
        </w:rPr>
        <w:t xml:space="preserve">⟨2⟩</w:t>
      </w:r>
      <w:r>
        <w:rPr>
          <w:rStyle w:val="ColorGray"/>
        </w:rPr>
        <w:t xml:space="preserve"> </w:t>
      </w:r>
      <w:r>
        <w:t xml:space="preserve">svasti⟨.⟩ śrīmatāṁ sakala-bhuvana-saṁstūyamāna-mānavya-sagotrāṇāṁ hārītī-putrāṇāṁ kau</w:t>
      </w:r>
      <w:r>
        <w:rPr>
          <w:rStyle w:val="ColorGray"/>
        </w:rPr>
        <w:t xml:space="preserve">⟨3⟩</w:t>
      </w:r>
      <w:r>
        <w:t xml:space="preserve">śikī-vara-prasāda-labdha-rājyānāṁ mātr̥-gaṇa-paripālitānāṁ svāmi-mahāsena-pādānudhyātā</w:t>
      </w:r>
      <w:r>
        <w:rPr>
          <w:rStyle w:val="ColorGray"/>
        </w:rPr>
        <w:t xml:space="preserve">⟨4⟩</w:t>
      </w:r>
      <w:r>
        <w:t xml:space="preserve">nāṁ bhagavan-nā◯rāyaṇa-prasāda-samāsādita-vara-varāha-lāṁchanekṣaṇa-kṣaṇa-va</w:t>
      </w:r>
      <w:r>
        <w:rPr>
          <w:rStyle w:val="ColorGray"/>
        </w:rPr>
        <w:t xml:space="preserve">⟨5⟩</w:t>
      </w:r>
      <w:r>
        <w:t xml:space="preserve">śīkr̥tārā◯ti-maṇḍalānāṁ Aśvamedhāvabhr̥tha-snāna-pavitrīkr̥ta-vapuṣāṁ calukyā</w:t>
      </w:r>
      <w:r>
        <w:rPr>
          <w:rStyle w:val="ColorGray"/>
        </w:rPr>
        <w:t xml:space="preserve">⟨6⟩</w:t>
      </w:r>
      <w:r>
        <w:t xml:space="preserve">nāṁ kulam ala◯ṁkar</w:t>
      </w:r>
      <w:r>
        <w:rPr>
          <w:rStyle w:val="ColorRed"/>
        </w:rPr>
        <w:t xml:space="preserve">¿a?</w:t>
      </w:r>
      <w:r>
        <w:rPr>
          <w:rStyle w:val="ColorGreen"/>
        </w:rPr>
        <w:t xml:space="preserve">⟨i⟩</w:t>
      </w:r>
      <w:r>
        <w:t xml:space="preserve">ṣṇ</w:t>
      </w:r>
      <w:r>
        <w:rPr>
          <w:rStyle w:val="ColorRed"/>
        </w:rPr>
        <w:t xml:space="preserve">¿u?</w:t>
      </w:r>
      <w:r>
        <w:rPr>
          <w:rStyle w:val="ColorGreen"/>
        </w:rPr>
        <w:t xml:space="preserve">⟨o⟩</w:t>
      </w:r>
      <w:r>
        <w:t xml:space="preserve">ḥ{∥} satyāśraya-vallabh⟦e⟧⟨⟨a⟩⟩sya bhrātā kubja-viṣṇuvarddhano ⟨’⟩ṣṭāda</w:t>
      </w:r>
      <w:r>
        <w:rPr>
          <w:rStyle w:val="ColorGray"/>
        </w:rPr>
        <w:t xml:space="preserve">⟨7⟩</w:t>
      </w:r>
      <w:r>
        <w:t xml:space="preserve">śa varṣāṇi| tat-putro jayasiṁha-vallabhas trayastriṁśad varṣāṇi| tad-bhrātur indrarāja-na</w:t>
      </w:r>
      <w:r>
        <w:rPr>
          <w:rStyle w:val="ColorGray"/>
        </w:rPr>
        <w:t xml:space="preserve">⟨8⟩</w:t>
      </w:r>
      <w:r>
        <w:t xml:space="preserve">ndano viṣ(ṇ)uvarddhanaḥ nava varṣāṇi| tat-putro maṁgi-yuvarājaḥ paṁcaviṁśati saṁvatsarāN⟨.⟩</w:t>
      </w:r>
      <w:r>
        <w:rPr>
          <w:rStyle w:val="ColorGray"/>
        </w:rPr>
        <w:t xml:space="preserve"> </w:t>
      </w:r>
      <w:r>
        <w:rPr>
          <w:rStyle w:val="ColorGray"/>
        </w:rPr>
        <w:t xml:space="preserve">⟨9⟩</w:t>
      </w:r>
      <w:r>
        <w:rPr>
          <w:rStyle w:val="ColorGray"/>
        </w:rPr>
        <w:t xml:space="preserve"> </w:t>
      </w:r>
      <w:r>
        <w:t xml:space="preserve">tat-sūnur jjayasiṁhas trayodaśa saṁvatsarāN| tad-⟨d⟩vaimāturānujaḥ kokkili⟨ḥ⟩</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⟨10⟩</w:t>
      </w:r>
      <w:r>
        <w:rPr>
          <w:rStyle w:val="ColorGray"/>
        </w:rPr>
        <w:t xml:space="preserve"> </w:t>
      </w:r>
      <w:r>
        <w:t xml:space="preserve">ṣaṇ māsān| tad-agrajo viṣṇurājas svānujam uccāṭy</w:t>
      </w:r>
      <w:r>
        <w:rPr>
          <w:rStyle w:val="ColorRed"/>
        </w:rPr>
        <w:t xml:space="preserve">¿ā?</w:t>
      </w:r>
      <w:r>
        <w:rPr>
          <w:rStyle w:val="ColorGreen"/>
        </w:rPr>
        <w:t xml:space="preserve">⟨a⟩</w:t>
      </w:r>
      <w:r>
        <w:t xml:space="preserve"> </w:t>
      </w:r>
      <w:r>
        <w:t xml:space="preserve">saptatriṁśat-saṁvatsarāN⟨.⟩ ta</w:t>
      </w:r>
      <w:r>
        <w:rPr>
          <w:rStyle w:val="ColorGray"/>
        </w:rPr>
        <w:t xml:space="preserve">⟨11⟩</w:t>
      </w:r>
      <w:r>
        <w:t xml:space="preserve">t-putro vijayāditya-bhaṭṭārakaḥ AṣṭādaśābdāN| tan-nandano viṣṇuvarddhanaḥ ṣaṭtriṁśa</w:t>
      </w:r>
      <w:r>
        <w:rPr>
          <w:rStyle w:val="ColorGray"/>
        </w:rPr>
        <w:t xml:space="preserve">⟨12⟩</w:t>
      </w:r>
      <w:r>
        <w:t xml:space="preserve">d-abdān| tat-putraḥ</w:t>
      </w:r>
    </w:p>
    <w:p>
      <w:pPr>
        <w:pStyle w:val="BodyText"/>
      </w:pPr>
      <w:r>
        <w:t xml:space="preserve">2.</w:t>
      </w:r>
      <w:r>
        <w:t xml:space="preserve"> </w:t>
      </w:r>
      <w:hyperlink r:id="rId9">
        <w:r>
          <w:rPr>
            <w:rStyle w:val="Hyperlink"/>
          </w:rPr>
          <w:t xml:space="preserve">Anuṣṭubh</w:t>
        </w:r>
      </w:hyperlink>
    </w:p>
    <w:p>
      <w:pPr>
        <w:pStyle w:val="BodyText"/>
      </w:pPr>
      <w:r>
        <w:t xml:space="preserve">gaṁgga-raṭṭa-balais sārddhaM</w:t>
      </w:r>
      <w:r>
        <w:br/>
      </w:r>
      <w:r>
        <w:t xml:space="preserve">dvādaśābdān ah</w:t>
      </w:r>
      <w:r>
        <w:rPr>
          <w:rStyle w:val="ColorRed"/>
        </w:rPr>
        <w:t xml:space="preserve">¿ā?</w:t>
      </w:r>
      <w:r>
        <w:rPr>
          <w:rStyle w:val="ColorGreen"/>
        </w:rPr>
        <w:t xml:space="preserve">⟨a⟩</w:t>
      </w:r>
      <w:r>
        <w:t xml:space="preserve">r-nniśaM</w:t>
      </w:r>
      <w:r>
        <w:br/>
      </w:r>
      <w:r>
        <w:t xml:space="preserve">bhujārjjita-bala</w:t>
      </w:r>
      <w:r>
        <w:rPr>
          <w:rStyle w:val="ColorRed"/>
        </w:rPr>
        <w:t xml:space="preserve">¿ṁ?</w:t>
      </w:r>
      <w:r>
        <w:rPr>
          <w:rStyle w:val="ColorGreen"/>
        </w:rPr>
        <w:t xml:space="preserve">⟨ḥ⟩</w:t>
      </w:r>
      <w:r>
        <w:rPr>
          <w:rStyle w:val="ColorGray"/>
        </w:rPr>
        <w:t xml:space="preserve"> </w:t>
      </w:r>
      <w:r>
        <w:rPr>
          <w:rStyle w:val="ColorGray"/>
        </w:rPr>
        <w:t xml:space="preserve">⟨13⟩</w:t>
      </w:r>
      <w:r>
        <w:rPr>
          <w:rStyle w:val="ColorGray"/>
        </w:rPr>
        <w:t xml:space="preserve"> </w:t>
      </w:r>
      <w:r>
        <w:t xml:space="preserve">khaḍga-</w:t>
      </w:r>
      <w:r>
        <w:br/>
      </w:r>
      <w:r>
        <w:t xml:space="preserve">-sahā◯yo naya-vikramaiḥ</w:t>
      </w:r>
    </w:p>
    <w:p>
      <w:pPr>
        <w:pStyle w:val="BodyText"/>
      </w:pPr>
      <w:r>
        <w:t xml:space="preserve">3.</w:t>
      </w:r>
      <w:r>
        <w:t xml:space="preserve"> </w:t>
      </w:r>
      <w:hyperlink r:id="rId9">
        <w:r>
          <w:rPr>
            <w:rStyle w:val="Hyperlink"/>
          </w:rPr>
          <w:t xml:space="preserve">Anuṣṭubh</w:t>
        </w:r>
      </w:hyperlink>
    </w:p>
    <w:p>
      <w:pPr>
        <w:pStyle w:val="BodyText"/>
      </w:pPr>
      <w:r>
        <w:t xml:space="preserve">Aṣṭottaraṁ yuddha-śataM</w:t>
      </w:r>
      <w:r>
        <w:br/>
      </w:r>
      <w:r>
        <w:t xml:space="preserve">yuddhvā śaṁbhor mma</w:t>
      </w:r>
      <w:r>
        <w:rPr>
          <w:rStyle w:val="ColorGray"/>
        </w:rPr>
        <w:t xml:space="preserve">⟨14⟩</w:t>
      </w:r>
      <w:r>
        <w:t xml:space="preserve">hālayāN</w:t>
      </w:r>
      <w:r>
        <w:br/>
      </w:r>
      <w:r>
        <w:t xml:space="preserve">ta◯t-saṁkhy</w:t>
      </w:r>
      <w:r>
        <w:rPr>
          <w:rStyle w:val="ColorRed"/>
        </w:rPr>
        <w:t xml:space="preserve">¿ā?</w:t>
      </w:r>
      <w:r>
        <w:rPr>
          <w:rStyle w:val="ColorGreen"/>
        </w:rPr>
        <w:t xml:space="preserve">⟨a⟩</w:t>
      </w:r>
      <w:r>
        <w:t xml:space="preserve">yākarod vīro</w:t>
      </w:r>
      <w:r>
        <w:br/>
      </w:r>
      <w:r>
        <w:t xml:space="preserve">vijayāditya-bhūpatiḥ</w:t>
      </w:r>
    </w:p>
    <w:p>
      <w:pPr>
        <w:pStyle w:val="BodyText"/>
      </w:pPr>
      <w:r>
        <w:t xml:space="preserve">4.</w:t>
      </w:r>
      <w:r>
        <w:t xml:space="preserve"> </w:t>
      </w:r>
      <w:hyperlink r:id="rId9">
        <w:r>
          <w:rPr>
            <w:rStyle w:val="Hyperlink"/>
          </w:rPr>
          <w:t xml:space="preserve">Anuṣṭubh</w:t>
        </w:r>
      </w:hyperlink>
    </w:p>
    <w:p>
      <w:pPr>
        <w:pStyle w:val="BodyText"/>
      </w:pPr>
      <w:r>
        <w:t xml:space="preserve">kr̥tvā rājyaṁ</w:t>
      </w:r>
      <w:r>
        <w:rPr>
          <w:rStyle w:val="ColorGray"/>
        </w:rPr>
        <w:t xml:space="preserve"> </w:t>
      </w:r>
      <w:r>
        <w:rPr>
          <w:rStyle w:val="ColorGray"/>
        </w:rPr>
        <w:t xml:space="preserve">⟨15⟩</w:t>
      </w:r>
      <w:r>
        <w:rPr>
          <w:rStyle w:val="ColorGray"/>
        </w:rPr>
        <w:t xml:space="preserve"> </w:t>
      </w:r>
      <w:r>
        <w:t xml:space="preserve">sa veṁggīś</w:t>
      </w:r>
      <w:r>
        <w:rPr>
          <w:rStyle w:val="ColorMagenta"/>
        </w:rPr>
        <w:t xml:space="preserve">¡a|s!</w:t>
      </w:r>
      <w:r>
        <w:rPr>
          <w:rStyle w:val="ColorBlue"/>
        </w:rPr>
        <w:t xml:space="preserve">⟨aḥ|⟩</w:t>
      </w:r>
      <w:r>
        <w:br/>
      </w:r>
      <w:r>
        <w:t xml:space="preserve">sa catvāriṁśatas samāN</w:t>
      </w:r>
      <w:r>
        <w:br/>
      </w:r>
      <w:r>
        <w:t xml:space="preserve">catur-uttara-saṁkhyātāN</w:t>
      </w:r>
      <w:r>
        <w:br/>
      </w:r>
      <w:r>
        <w:t xml:space="preserve">yayau</w:t>
      </w:r>
      <w:r>
        <w:t xml:space="preserve"> </w:t>
      </w:r>
      <w:r>
        <w:rPr>
          <w:rStyle w:val="ColorRed"/>
        </w:rPr>
        <w:t xml:space="preserve">¿ś?</w:t>
      </w:r>
      <w:r>
        <w:rPr>
          <w:rStyle w:val="ColorGreen"/>
        </w:rPr>
        <w:t xml:space="preserve">⟨s⟩</w:t>
      </w:r>
      <w:r>
        <w:t xml:space="preserve">akhyaṁ</w:t>
      </w:r>
      <w:r>
        <w:t xml:space="preserve"> </w:t>
      </w:r>
      <w:r>
        <w:rPr>
          <w:rStyle w:val="ColorRed"/>
        </w:rPr>
        <w:t xml:space="preserve">¿s?</w:t>
      </w:r>
      <w:r>
        <w:rPr>
          <w:rStyle w:val="ColorGreen"/>
        </w:rPr>
        <w:t xml:space="preserve">⟨ś⟩</w:t>
      </w:r>
      <w:r>
        <w:t xml:space="preserve">acī-pa</w:t>
      </w:r>
      <w:r>
        <w:rPr>
          <w:rStyle w:val="ColorGray"/>
        </w:rPr>
        <w:t xml:space="preserve">⟨16⟩</w:t>
      </w:r>
      <w:r>
        <w:t xml:space="preserve">teḥ</w:t>
      </w:r>
    </w:p>
    <w:p>
      <w:pPr>
        <w:pStyle w:val="BodyText"/>
      </w:pPr>
      <w:r>
        <w:t xml:space="preserve">5.</w:t>
      </w:r>
      <w:r>
        <w:t xml:space="preserve"> </w:t>
      </w:r>
      <w:hyperlink r:id="rId9">
        <w:r>
          <w:rPr>
            <w:rStyle w:val="Hyperlink"/>
          </w:rPr>
          <w:t xml:space="preserve">Anuṣṭubh</w:t>
        </w:r>
      </w:hyperlink>
    </w:p>
    <w:p>
      <w:pPr>
        <w:pStyle w:val="BodyText"/>
      </w:pPr>
      <w:r>
        <w:t xml:space="preserve">tat-sūnur</w:t>
      </w:r>
      <w:r>
        <w:t xml:space="preserve"> </w:t>
      </w:r>
      <w:r>
        <w:rPr>
          <w:rStyle w:val="ColorRed"/>
        </w:rPr>
        <w:t xml:space="preserve">¿ṇṇ?</w:t>
      </w:r>
      <w:r>
        <w:rPr>
          <w:rStyle w:val="ColorGreen"/>
        </w:rPr>
        <w:t xml:space="preserve">⟨nn⟩</w:t>
      </w:r>
      <w:r>
        <w:t xml:space="preserve">ayavi{T}d vīraḥ</w:t>
      </w:r>
      <w:r>
        <w:br/>
      </w:r>
      <w:r>
        <w:t xml:space="preserve">ka</w:t>
      </w:r>
      <w:r>
        <w:rPr>
          <w:rStyle w:val="ColorMagenta"/>
        </w:rPr>
        <w:t xml:space="preserve">¡ll!</w:t>
      </w:r>
      <w:r>
        <w:rPr>
          <w:rStyle w:val="ColorBlue"/>
        </w:rPr>
        <w:t xml:space="preserve">⟨l⟩</w:t>
      </w:r>
      <w:r>
        <w:t xml:space="preserve">y-ādi(r v)viṣṇuvarddhan</w:t>
      </w:r>
      <w:r>
        <w:rPr>
          <w:rStyle w:val="ColorMagenta"/>
        </w:rPr>
        <w:t xml:space="preserve">¡o!</w:t>
      </w:r>
      <w:r>
        <w:rPr>
          <w:rStyle w:val="ColorBlue"/>
        </w:rPr>
        <w:t xml:space="preserve">⟨aḥ⟩</w:t>
      </w:r>
      <w:r>
        <w:t xml:space="preserve">|</w:t>
      </w:r>
      <w:r>
        <w:br/>
      </w:r>
      <w:r>
        <w:t xml:space="preserve">veṁggī-nāthas samastānām</w:t>
      </w:r>
      <w:r>
        <w:br/>
      </w:r>
      <w:r>
        <w:t xml:space="preserve">āyudhā</w:t>
      </w:r>
      <w:r>
        <w:rPr>
          <w:rStyle w:val="ColorGray"/>
        </w:rPr>
        <w:t xml:space="preserve">⟨17⟩</w:t>
      </w:r>
      <w:r>
        <w:t xml:space="preserve">nāṁ ka</w:t>
      </w:r>
      <w:r>
        <w:rPr>
          <w:rStyle w:val="ColorMagenta"/>
        </w:rPr>
        <w:t xml:space="preserve">¡ḷ!</w:t>
      </w:r>
      <w:r>
        <w:rPr>
          <w:rStyle w:val="ColorBlue"/>
        </w:rPr>
        <w:t xml:space="preserve">⟨l⟩</w:t>
      </w:r>
      <w:r>
        <w:t xml:space="preserve">au kr̥tī</w:t>
      </w:r>
    </w:p>
    <w:p>
      <w:pPr>
        <w:pStyle w:val="BodyText"/>
      </w:pPr>
      <w:r>
        <w:t xml:space="preserve">6.</w:t>
      </w:r>
      <w:r>
        <w:t xml:space="preserve"> </w:t>
      </w:r>
      <w:hyperlink r:id="rId10">
        <w:r>
          <w:rPr>
            <w:rStyle w:val="Hyperlink"/>
          </w:rPr>
          <w:t xml:space="preserve">Vasantatilakā</w:t>
        </w:r>
      </w:hyperlink>
    </w:p>
    <w:p>
      <w:pPr>
        <w:pStyle w:val="BodyText"/>
      </w:pPr>
      <w:r>
        <w:t xml:space="preserve">varṇṇ</w:t>
      </w:r>
      <w:r>
        <w:rPr>
          <w:rStyle w:val="ColorRed"/>
        </w:rPr>
        <w:t xml:space="preserve">¿a?</w:t>
      </w:r>
      <w:r>
        <w:rPr>
          <w:rStyle w:val="ColorGreen"/>
        </w:rPr>
        <w:t xml:space="preserve">⟨ā⟩</w:t>
      </w:r>
      <w:r>
        <w:t xml:space="preserve">śrama-sthiti-niyojana-dakṣa-rakṣā-</w:t>
      </w:r>
      <w:r>
        <w:br/>
      </w:r>
      <w:r>
        <w:t xml:space="preserve">-ś</w:t>
      </w:r>
      <w:r>
        <w:rPr>
          <w:rStyle w:val="ColorRed"/>
        </w:rPr>
        <w:t xml:space="preserve">¿ī?</w:t>
      </w:r>
      <w:r>
        <w:rPr>
          <w:rStyle w:val="ColorGreen"/>
        </w:rPr>
        <w:t xml:space="preserve">⟨i⟩</w:t>
      </w:r>
      <w:r>
        <w:t xml:space="preserve">kṣā-paraḫ para-puraṁ-jaya-sa</w:t>
      </w:r>
      <w:r>
        <w:rPr>
          <w:rStyle w:val="ColorGray"/>
        </w:rPr>
        <w:t xml:space="preserve">⟨Page 2v⟩</w:t>
      </w:r>
      <w:r>
        <w:rPr>
          <w:rStyle w:val="ColorGray"/>
        </w:rPr>
        <w:t xml:space="preserve">⟨18⟩</w:t>
      </w:r>
      <w:r>
        <w:t xml:space="preserve">kta-bāhu⟨ḥ⟩|</w:t>
      </w:r>
      <w:r>
        <w:br/>
      </w:r>
      <w:r>
        <w:t xml:space="preserve">nityan trivargga-paripā</w:t>
      </w:r>
      <w:r>
        <w:rPr>
          <w:rStyle w:val="ColorMagenta"/>
        </w:rPr>
        <w:t xml:space="preserve">¡ḷ!</w:t>
      </w:r>
      <w:r>
        <w:rPr>
          <w:rStyle w:val="ColorBlue"/>
        </w:rPr>
        <w:t xml:space="preserve">⟨l⟩</w:t>
      </w:r>
      <w:r>
        <w:t xml:space="preserve">ana-tantra-mantri-</w:t>
      </w:r>
      <w:r>
        <w:br/>
      </w:r>
      <w:r>
        <w:t xml:space="preserve">-saṁ</w:t>
      </w:r>
      <w:r>
        <w:rPr>
          <w:rStyle w:val="ColorMagenta"/>
        </w:rPr>
        <w:t xml:space="preserve">¡vv!</w:t>
      </w:r>
      <w:r>
        <w:rPr>
          <w:rStyle w:val="ColorBlue"/>
        </w:rPr>
        <w:t xml:space="preserve">⟨v⟩</w:t>
      </w:r>
      <w:r>
        <w:t xml:space="preserve">arddhitākhila-dharātala-la</w:t>
      </w:r>
      <w:r>
        <w:rPr>
          <w:rStyle w:val="ColorGray"/>
        </w:rPr>
        <w:t xml:space="preserve">⟨19⟩</w:t>
      </w:r>
      <w:r>
        <w:t xml:space="preserve">bdha-tej</w:t>
      </w:r>
      <w:r>
        <w:rPr>
          <w:rStyle w:val="ColorRed"/>
        </w:rPr>
        <w:t xml:space="preserve">¿a?</w:t>
      </w:r>
      <w:r>
        <w:rPr>
          <w:rStyle w:val="ColorGreen"/>
        </w:rPr>
        <w:t xml:space="preserve">⟨ā⟩</w:t>
      </w:r>
      <w:r>
        <w:t xml:space="preserve">ḥ</w:t>
      </w:r>
    </w:p>
    <w:p>
      <w:pPr>
        <w:pStyle w:val="BodyText"/>
      </w:pPr>
      <w:r>
        <w:t xml:space="preserve">7.</w:t>
      </w:r>
      <w:r>
        <w:t xml:space="preserve"> </w:t>
      </w:r>
      <w:hyperlink r:id="rId9">
        <w:r>
          <w:rPr>
            <w:rStyle w:val="Hyperlink"/>
          </w:rPr>
          <w:t xml:space="preserve">Anuṣṭubh</w:t>
        </w:r>
      </w:hyperlink>
    </w:p>
    <w:p>
      <w:pPr>
        <w:pStyle w:val="BodyText"/>
      </w:pPr>
      <w:r>
        <w:t xml:space="preserve">gaja-vāji-yuddha-kuśalas</w:t>
      </w:r>
      <w:r>
        <w:br/>
      </w:r>
      <w:r>
        <w:t xml:space="preserve">sārddha-saṁ</w:t>
      </w:r>
      <w:r>
        <w:rPr>
          <w:rStyle w:val="ColorMagenta"/>
        </w:rPr>
        <w:t xml:space="preserve">¡vv!</w:t>
      </w:r>
      <w:r>
        <w:rPr>
          <w:rStyle w:val="ColorBlue"/>
        </w:rPr>
        <w:t xml:space="preserve">⟨v⟩</w:t>
      </w:r>
      <w:r>
        <w:t xml:space="preserve">atsaraṁ</w:t>
      </w:r>
      <w:r>
        <w:t xml:space="preserve"> </w:t>
      </w:r>
      <w:r>
        <w:rPr>
          <w:rStyle w:val="ColorMagenta"/>
        </w:rPr>
        <w:t xml:space="preserve">¡pp!</w:t>
      </w:r>
      <w:r>
        <w:rPr>
          <w:rStyle w:val="ColorBlue"/>
        </w:rPr>
        <w:t xml:space="preserve">⟨p⟩</w:t>
      </w:r>
      <w:r>
        <w:t xml:space="preserve">atiḥ</w:t>
      </w:r>
      <w:r>
        <w:br/>
      </w:r>
      <w:r>
        <w:t xml:space="preserve">babhūva rājye</w:t>
      </w:r>
      <w:r>
        <w:t xml:space="preserve"> </w:t>
      </w:r>
      <w:r>
        <w:rPr>
          <w:rStyle w:val="ColorRed"/>
        </w:rPr>
        <w:t xml:space="preserve">¿ṇ?</w:t>
      </w:r>
      <w:r>
        <w:rPr>
          <w:rStyle w:val="ColorGreen"/>
        </w:rPr>
        <w:t xml:space="preserve">⟨n⟩</w:t>
      </w:r>
      <w:r>
        <w:t xml:space="preserve">⟦(ṇ)⟧aya-vi</w:t>
      </w:r>
      <w:r>
        <w:rPr>
          <w:rStyle w:val="ColorGray"/>
        </w:rPr>
        <w:t xml:space="preserve">⟨20⟩</w:t>
      </w:r>
      <w:r>
        <w:t xml:space="preserve">d</w:t>
      </w:r>
      <w:r>
        <w:br/>
      </w:r>
      <w:r>
        <w:t xml:space="preserve">abhiṣiktaḥ kulonnateḥ|</w:t>
      </w:r>
    </w:p>
    <w:p>
      <w:pPr>
        <w:pStyle w:val="BodyText"/>
      </w:pPr>
      <w:r>
        <w:t xml:space="preserve">8.</w:t>
      </w:r>
      <w:r>
        <w:t xml:space="preserve"> </w:t>
      </w:r>
      <w:hyperlink r:id="rId11">
        <w:r>
          <w:rPr>
            <w:rStyle w:val="Hyperlink"/>
          </w:rPr>
          <w:t xml:space="preserve">Rathoddhatā</w:t>
        </w:r>
      </w:hyperlink>
    </w:p>
    <w:p>
      <w:pPr>
        <w:pStyle w:val="BodyText"/>
      </w:pPr>
      <w:r>
        <w:t xml:space="preserve">tat-suto ⟨’⟩jani samasta-bhūbhr̥tāṁ</w:t>
      </w:r>
      <w:r>
        <w:br/>
      </w:r>
      <w:r>
        <w:t xml:space="preserve">śāsakaḥ sakala-saṁpadāṁ pa</w:t>
      </w:r>
      <w:r>
        <w:rPr>
          <w:rStyle w:val="ColorGray"/>
        </w:rPr>
        <w:t xml:space="preserve">⟨21⟩</w:t>
      </w:r>
      <w:r>
        <w:t xml:space="preserve">tiḥ</w:t>
      </w:r>
      <w:r>
        <w:br/>
      </w:r>
      <w:r>
        <w:t xml:space="preserve">dhairyya-dā◯na-dhr̥ti-dharmma-nirmmala--</w:t>
      </w:r>
      <w:r>
        <w:br/>
      </w:r>
      <w:r>
        <w:t xml:space="preserve">-śrī-pratāpa-dhara-mūrtti-viśrutaḥ</w:t>
      </w:r>
    </w:p>
    <w:p>
      <w:pPr>
        <w:pStyle w:val="BodyText"/>
      </w:pPr>
      <w:r>
        <w:t xml:space="preserve">9.</w:t>
      </w:r>
      <w:r>
        <w:t xml:space="preserve"> </w:t>
      </w:r>
      <w:hyperlink r:id="rId12">
        <w:r>
          <w:rPr>
            <w:rStyle w:val="Hyperlink"/>
          </w:rPr>
          <w:t xml:space="preserve">Hariṇī</w:t>
        </w:r>
      </w:hyperlink>
    </w:p>
    <w:p>
      <w:pPr>
        <w:pStyle w:val="BodyText"/>
      </w:pPr>
      <w:r>
        <w:t xml:space="preserve">samara-ni</w:t>
      </w:r>
      <w:r>
        <w:rPr>
          <w:rStyle w:val="ColorGray"/>
        </w:rPr>
        <w:t xml:space="preserve">⟨22⟩</w:t>
      </w:r>
      <w:r>
        <w:t xml:space="preserve">ratārāti-vrā◯tān aneka-dhareśvarāN|</w:t>
      </w:r>
      <w:r>
        <w:br/>
      </w:r>
      <w:r>
        <w:t xml:space="preserve">prakr̥ti-bala-saṁpannaḥ tejas-tati-krama</w:t>
      </w:r>
      <w:r>
        <w:rPr>
          <w:rStyle w:val="ColorGray"/>
        </w:rPr>
        <w:t xml:space="preserve">⟨23⟩</w:t>
      </w:r>
      <w:r>
        <w:t xml:space="preserve">ṇo</w:t>
      </w:r>
      <w:r>
        <w:rPr>
          <w:rStyle w:val="ColorRed"/>
        </w:rPr>
        <w:t xml:space="preserve">¿(ṇ)ṇ?</w:t>
      </w:r>
      <w:r>
        <w:rPr>
          <w:rStyle w:val="ColorGreen"/>
        </w:rPr>
        <w:t xml:space="preserve">⟨nn⟩</w:t>
      </w:r>
      <w:r>
        <w:t xml:space="preserve">atiḥ|</w:t>
      </w:r>
      <w:r>
        <w:br/>
      </w:r>
      <w:r>
        <w:t xml:space="preserve">vilasad-asinā jitvā sūryyaṁ pratāpa-yaśomayair</w:t>
      </w:r>
      <w:r>
        <w:br/>
      </w:r>
      <w:r>
        <w:t xml:space="preserve">jjagati vijayādi</w:t>
      </w:r>
      <w:r>
        <w:rPr>
          <w:rStyle w:val="ColorGray"/>
        </w:rPr>
        <w:t xml:space="preserve">⟨24⟩</w:t>
      </w:r>
      <w:r>
        <w:t xml:space="preserve">tyo nityaṁ guṇaiś ca jigāya saḥ|</w:t>
      </w:r>
    </w:p>
    <w:p>
      <w:pPr>
        <w:pStyle w:val="BodyText"/>
      </w:pPr>
      <w:r>
        <w:t xml:space="preserve">10.</w:t>
      </w:r>
      <w:r>
        <w:t xml:space="preserve"> </w:t>
      </w:r>
      <w:hyperlink r:id="rId13">
        <w:r>
          <w:rPr>
            <w:rStyle w:val="Hyperlink"/>
          </w:rPr>
          <w:t xml:space="preserve">Śārdūlavikrīḍita</w:t>
        </w:r>
      </w:hyperlink>
    </w:p>
    <w:p>
      <w:pPr>
        <w:pStyle w:val="BodyText"/>
      </w:pPr>
      <w:r>
        <w:t xml:space="preserve">gaṁgān aṁgaja-vairi-śaktir asamāN| raṭṭeśa-saṁcodito</w:t>
      </w:r>
      <w:r>
        <w:br/>
      </w:r>
      <w:r>
        <w:t xml:space="preserve">jitvā maṁgi-śiro ⟨’⟩hara</w:t>
      </w:r>
      <w:r>
        <w:rPr>
          <w:rStyle w:val="ColorMagenta"/>
        </w:rPr>
        <w:t xml:space="preserve">¡T!</w:t>
      </w:r>
      <w:r>
        <w:t xml:space="preserve"> </w:t>
      </w:r>
      <w:r>
        <w:t xml:space="preserve">yudhi mahā-bāhvāpta-vīryyāryyamā|</w:t>
      </w:r>
      <w:r>
        <w:br/>
      </w:r>
      <w:r>
        <w:t xml:space="preserve">kr̥ṣṇaṁ saṁkilam a⟨ṁ⟩</w:t>
      </w:r>
      <w:r>
        <w:rPr>
          <w:rStyle w:val="ColorGray"/>
        </w:rPr>
        <w:t xml:space="preserve">⟨Page 3r⟩</w:t>
      </w:r>
      <w:r>
        <w:rPr>
          <w:rStyle w:val="ColorGray"/>
        </w:rPr>
        <w:t xml:space="preserve">⟨26⟩</w:t>
      </w:r>
      <w:r>
        <w:t xml:space="preserve">kitākhila-bala-prāptoru-sad-vikramo|</w:t>
      </w:r>
      <w:r>
        <w:br/>
      </w:r>
      <w:r>
        <w:t xml:space="preserve">bhītārttau ca vidhāya tat-puram araṁ yo</w:t>
      </w:r>
      <w:r>
        <w:rPr>
          <w:rStyle w:val="ColorGray"/>
        </w:rPr>
        <w:t xml:space="preserve"> </w:t>
      </w:r>
      <w:r>
        <w:rPr>
          <w:rStyle w:val="ColorGray"/>
        </w:rPr>
        <w:t xml:space="preserve">⟨27⟩</w:t>
      </w:r>
      <w:r>
        <w:rPr>
          <w:rStyle w:val="ColorGray"/>
        </w:rPr>
        <w:t xml:space="preserve"> </w:t>
      </w:r>
      <w:r>
        <w:t xml:space="preserve">nirddadāha prabhuḥ</w:t>
      </w:r>
    </w:p>
    <w:p>
      <w:pPr>
        <w:pStyle w:val="BodyText"/>
      </w:pPr>
      <w:r>
        <w:t xml:space="preserve">sa samasta-bhuvanāśraya-śrī-vijayādityaś catuścatvāri</w:t>
      </w:r>
      <w:r>
        <w:rPr>
          <w:rStyle w:val="ColorGray"/>
        </w:rPr>
        <w:t xml:space="preserve">⟨28⟩</w:t>
      </w:r>
      <w:r>
        <w:t xml:space="preserve">ṁśad-varṣāṇi| tad-anu savitaryy astaṁ-gate timira-paṭaleneva raṭṭa-dāyāda-bale</w:t>
      </w:r>
      <w:r>
        <w:rPr>
          <w:rStyle w:val="ColorGray"/>
        </w:rPr>
        <w:t xml:space="preserve">⟨29⟩</w:t>
      </w:r>
      <w:r>
        <w:t xml:space="preserve">nābhivyāptaM ◯ veṁgī-maṇḍalaM⟨.⟩ tad-anuja-vikramāditya-sūnuś calukya-bhīmā</w:t>
      </w:r>
      <w:r>
        <w:rPr>
          <w:rStyle w:val="ColorGray"/>
        </w:rPr>
        <w:t xml:space="preserve">⟨30⟩</w:t>
      </w:r>
      <w:r>
        <w:t xml:space="preserve">dhipo drohā◯rjunāpara-nāmā sva-vikramaika-sahāya-taravāri-prabhayāvabhā</w:t>
      </w:r>
      <w:r>
        <w:rPr>
          <w:rStyle w:val="ColorGray"/>
        </w:rPr>
        <w:t xml:space="preserve">⟨31⟩</w:t>
      </w:r>
      <w:r>
        <w:t xml:space="preserve">syādhipatir abhūt⟨.⟩ kiṁ ca∥ dīnānātha-nagna-naṭa-gāyaka-dharmma-dhvaja-vr̥ttīnā</w:t>
      </w:r>
      <w:r>
        <w:rPr>
          <w:rStyle w:val="ColorMagenta"/>
        </w:rPr>
        <w:t xml:space="preserve">¡M!</w:t>
      </w:r>
      <w:r>
        <w:t xml:space="preserve"> </w:t>
      </w:r>
      <w:r>
        <w:t xml:space="preserve">pitarāv i</w:t>
      </w:r>
      <w:r>
        <w:rPr>
          <w:rStyle w:val="ColorGray"/>
        </w:rPr>
        <w:t xml:space="preserve">⟨32⟩</w:t>
      </w:r>
      <w:r>
        <w:t xml:space="preserve">va sakheva gurur ivābhilaṣitaṁ vistīryya kalpa-taru-pratimaś cetāṁsi dānena saṁta</w:t>
      </w:r>
      <w:r>
        <w:rPr>
          <w:rStyle w:val="ColorGray"/>
        </w:rPr>
        <w:t xml:space="preserve">⟨33⟩</w:t>
      </w:r>
      <w:r>
        <w:t xml:space="preserve">rpya triṁśad-varṣāṇi{|} pālayitvātma-guṇaiḥ purandaram ānandayann iva tat-sakhyam agamaT|</w:t>
      </w:r>
    </w:p>
    <w:p>
      <w:pPr>
        <w:pStyle w:val="BodyText"/>
      </w:pPr>
      <w:r>
        <w:t xml:space="preserve">11.</w:t>
      </w:r>
      <w:r>
        <w:t xml:space="preserve"> </w:t>
      </w:r>
      <w:hyperlink r:id="rId9">
        <w:r>
          <w:rPr>
            <w:rStyle w:val="Hyperlink"/>
          </w:rPr>
          <w:t xml:space="preserve">Anuṣṭubh</w:t>
        </w:r>
      </w:hyperlink>
    </w:p>
    <w:p>
      <w:pPr>
        <w:pStyle w:val="BodyText"/>
      </w:pPr>
      <w:r>
        <w:rPr>
          <w:rStyle w:val="ColorGray"/>
        </w:rPr>
        <w:t xml:space="preserve">⟨Page 3v⟩</w:t>
      </w:r>
      <w:r>
        <w:rPr>
          <w:rStyle w:val="ColorGray"/>
        </w:rPr>
        <w:t xml:space="preserve"> </w:t>
      </w:r>
      <w:r>
        <w:rPr>
          <w:rStyle w:val="ColorGray"/>
        </w:rPr>
        <w:t xml:space="preserve"> </w:t>
      </w:r>
      <w:r>
        <w:rPr>
          <w:rStyle w:val="ColorGray"/>
        </w:rPr>
        <w:t xml:space="preserve">⟨34⟩</w:t>
      </w:r>
      <w:r>
        <w:rPr>
          <w:rStyle w:val="ColorGray"/>
        </w:rPr>
        <w:t xml:space="preserve"> </w:t>
      </w:r>
      <w:r>
        <w:t xml:space="preserve">tat-putro vijayādityaḥ</w:t>
      </w:r>
      <w:r>
        <w:br/>
      </w:r>
      <w:r>
        <w:t xml:space="preserve">śaiśavālabdha-saṁpadā</w:t>
      </w:r>
      <w:r>
        <w:br/>
      </w:r>
      <w:r>
        <w:t xml:space="preserve">sarvva-bhogādhirājyāṁga-</w:t>
      </w:r>
      <w:r>
        <w:br/>
      </w:r>
      <w:r>
        <w:t xml:space="preserve">-bala-ratnai</w:t>
      </w:r>
      <w:r>
        <w:rPr>
          <w:rStyle w:val="ColorGray"/>
        </w:rPr>
        <w:t xml:space="preserve">⟨35⟩</w:t>
      </w:r>
      <w:r>
        <w:t xml:space="preserve">r a</w:t>
      </w:r>
      <w:r>
        <w:rPr>
          <w:rStyle w:val="ColorRed"/>
        </w:rPr>
        <w:t xml:space="preserve">¿v?</w:t>
      </w:r>
      <w:r>
        <w:rPr>
          <w:rStyle w:val="ColorGreen"/>
        </w:rPr>
        <w:t xml:space="preserve">⟨p⟩</w:t>
      </w:r>
      <w:r>
        <w:t xml:space="preserve">i śrutaḥ|</w:t>
      </w:r>
    </w:p>
    <w:p>
      <w:pPr>
        <w:pStyle w:val="BodyText"/>
      </w:pPr>
      <w:r>
        <w:t xml:space="preserve">12.</w:t>
      </w:r>
      <w:r>
        <w:t xml:space="preserve"> </w:t>
      </w:r>
      <w:hyperlink r:id="rId14">
        <w:r>
          <w:rPr>
            <w:rStyle w:val="Hyperlink"/>
          </w:rPr>
          <w:t xml:space="preserve">Sragdharā</w:t>
        </w:r>
      </w:hyperlink>
    </w:p>
    <w:p>
      <w:pPr>
        <w:pStyle w:val="BodyText"/>
      </w:pPr>
      <w:r>
        <w:t xml:space="preserve">jīvaty eva pratāpā</w:t>
      </w:r>
      <w:r>
        <w:rPr>
          <w:rStyle w:val="ColorRed"/>
        </w:rPr>
        <w:t xml:space="preserve">¿p t?</w:t>
      </w:r>
      <w:r>
        <w:rPr>
          <w:rStyle w:val="ColorGreen"/>
        </w:rPr>
        <w:t xml:space="preserve">⟨t p⟩</w:t>
      </w:r>
      <w:r>
        <w:t xml:space="preserve">itari bhuja-bala-dhvasta-tad-vairi-varggaḥ</w:t>
      </w:r>
      <w:r>
        <w:br/>
      </w:r>
      <w:r>
        <w:t xml:space="preserve">paścāj jitvāri-vargga</w:t>
      </w:r>
      <w:r>
        <w:rPr>
          <w:rStyle w:val="ColorGray"/>
        </w:rPr>
        <w:t xml:space="preserve">⟨36⟩</w:t>
      </w:r>
      <w:r>
        <w:t xml:space="preserve">n nijam ajita-mahā-śakti-saṁpanna-mantra⟨ḥ⟩</w:t>
      </w:r>
      <w:r>
        <w:br/>
      </w:r>
      <w:r>
        <w:t xml:space="preserve">prajñā-cakreṇa bāhyāṁ ripu-samitim api svārttha</w:t>
      </w:r>
      <w:r>
        <w:rPr>
          <w:rStyle w:val="ColorGray"/>
        </w:rPr>
        <w:t xml:space="preserve">⟨37⟩</w:t>
      </w:r>
      <w:r>
        <w:t xml:space="preserve">-bhogaiḥ kr̥ttā◯rttho</w:t>
      </w:r>
      <w:r>
        <w:br/>
      </w:r>
      <w:r>
        <w:t xml:space="preserve">rājyāśīr-llabdha-tejāḥ sama-dalam adhipo jetum indraṁ prayā</w:t>
      </w:r>
      <w:r>
        <w:rPr>
          <w:rStyle w:val="ColorGray"/>
        </w:rPr>
        <w:t xml:space="preserve">⟨38⟩</w:t>
      </w:r>
      <w:r>
        <w:t xml:space="preserve">taḥ|</w:t>
      </w:r>
    </w:p>
    <w:p>
      <w:pPr>
        <w:pStyle w:val="BodyText"/>
      </w:pPr>
      <w:r>
        <w:t xml:space="preserve">tat-sūnu◯r udayāditya ivāmma⟨rājo⟩ rājamahendrāpara-nāmā ripu-timi</w:t>
      </w:r>
      <w:r>
        <w:rPr>
          <w:rStyle w:val="ColorGray"/>
        </w:rPr>
        <w:t xml:space="preserve">⟨39⟩</w:t>
      </w:r>
      <w:r>
        <w:t xml:space="preserve">ram ārān nihatya prakr̥ti-sapatna-pakṣa-nikṣipta-sāmanta-kulya-kuṭila-mano-bha</w:t>
      </w:r>
      <w:r>
        <w:rPr>
          <w:rStyle w:val="ColorGray"/>
        </w:rPr>
        <w:t xml:space="preserve">⟨40⟩</w:t>
      </w:r>
      <w:r>
        <w:t xml:space="preserve">ṁga-karaṁ karavālam utkr̥</w:t>
      </w:r>
      <w:r>
        <w:rPr>
          <w:rStyle w:val="ColorRed"/>
        </w:rPr>
        <w:t xml:space="preserve">¿t?</w:t>
      </w:r>
      <w:r>
        <w:rPr>
          <w:rStyle w:val="ColorGreen"/>
        </w:rPr>
        <w:t xml:space="preserve">⟨ṣ⟩</w:t>
      </w:r>
      <w:r>
        <w:t xml:space="preserve">ya śakti-traya-saṁpanna-pratāpāvarjita-pitr̥-pitāmaha</w:t>
      </w:r>
      <w:r>
        <w:rPr>
          <w:rStyle w:val="ColorGray"/>
        </w:rPr>
        <w:t xml:space="preserve">⟨41⟩</w:t>
      </w:r>
      <w:r>
        <w:t xml:space="preserve">-prakr̥ti-balaḥ prajñayā sura-guruṁ tejasā bhānumantaṁ kṣamayā kṣamām ama</w:t>
      </w:r>
      <w:r>
        <w:rPr>
          <w:rStyle w:val="ColorGray"/>
        </w:rPr>
        <w:t xml:space="preserve">⟨Page 4r⟩</w:t>
      </w:r>
      <w:r>
        <w:rPr>
          <w:rStyle w:val="ColorGray"/>
        </w:rPr>
        <w:t xml:space="preserve">⟨42⟩</w:t>
      </w:r>
      <w:r>
        <w:t xml:space="preserve">ra-giriṁ vividha-budha-samāśrayatayānukurvvaN sarvva-lokāśraya-śrī-viṣṇuvarddhana-ma</w:t>
      </w:r>
      <w:r>
        <w:rPr>
          <w:rStyle w:val="ColorGray"/>
        </w:rPr>
        <w:t xml:space="preserve">⟨43⟩</w:t>
      </w:r>
      <w:r>
        <w:t xml:space="preserve">hārājaḥ sva-rājyābhiṣeka-kr̥ta-kalyāṇaḥ siṁhāsanārūḍhaḥ kaṇḍeṟuvāḍi-viṣaya</w:t>
      </w:r>
      <w:r>
        <w:rPr>
          <w:rStyle w:val="ColorGray"/>
        </w:rPr>
        <w:t xml:space="preserve">⟨44⟩</w:t>
      </w:r>
      <w:r>
        <w:t xml:space="preserve">-nivāsinaḥ sarvvān kuṭuṁbinas samāhūyettham ājñāpayati sma|</w:t>
      </w:r>
    </w:p>
    <w:p>
      <w:pPr>
        <w:pStyle w:val="BodyText"/>
      </w:pPr>
      <w:r>
        <w:t xml:space="preserve">Asmat-kula-ka</w:t>
      </w:r>
      <w:r>
        <w:rPr>
          <w:rStyle w:val="ColorMagenta"/>
        </w:rPr>
        <w:t xml:space="preserve">¡ll!</w:t>
      </w:r>
      <w:r>
        <w:rPr>
          <w:rStyle w:val="ColorBlue"/>
        </w:rPr>
        <w:t xml:space="preserve">⟨l⟩</w:t>
      </w:r>
      <w:r>
        <w:t xml:space="preserve">yāṇa-pa</w:t>
      </w:r>
      <w:r>
        <w:rPr>
          <w:rStyle w:val="ColorGray"/>
        </w:rPr>
        <w:t xml:space="preserve">⟨45⟩</w:t>
      </w:r>
      <w:r>
        <w:t xml:space="preserve">raṁp</w:t>
      </w:r>
      <w:r>
        <w:rPr>
          <w:rStyle w:val="ColorRed"/>
        </w:rPr>
        <w:t xml:space="preserve">¿ā?</w:t>
      </w:r>
      <w:r>
        <w:rPr>
          <w:rStyle w:val="ColorGreen"/>
        </w:rPr>
        <w:t xml:space="preserve">⟨a⟩</w:t>
      </w:r>
      <w:r>
        <w:t xml:space="preserve">rā-ni◯yogādhikr̥ta-paṭṭavarddhinī-vaṁśāgraṇyā| kāḻakaṁpa Iti viśrute</w:t>
      </w:r>
      <w:r>
        <w:rPr>
          <w:rStyle w:val="ColorGray"/>
        </w:rPr>
        <w:t xml:space="preserve">⟨46⟩</w:t>
      </w:r>
      <w:r>
        <w:t xml:space="preserve">na| kubja-viṣṇu◯varddhanānucareṇa saṁgrāme tad-anujñayā| durddharṣa-balaṁ daddara-nā</w:t>
      </w:r>
      <w:r>
        <w:rPr>
          <w:rStyle w:val="ColorGray"/>
        </w:rPr>
        <w:t xml:space="preserve">⟨47⟩</w:t>
      </w:r>
      <w:r>
        <w:t xml:space="preserve">mānaṁ vinihatya tac-cihnāni{|} yena jagr̥hire| tat-kula-prasūta-somādityasya sūnur a</w:t>
      </w:r>
      <w:r>
        <w:rPr>
          <w:rStyle w:val="ColorGray"/>
        </w:rPr>
        <w:t xml:space="preserve">⟨48⟩</w:t>
      </w:r>
      <w:r>
        <w:t xml:space="preserve">neka-yuddha-labdha-pratāpaḥ pritiviyarājaḥ</w:t>
      </w:r>
    </w:p>
    <w:p>
      <w:pPr>
        <w:pStyle w:val="BodyText"/>
      </w:pPr>
      <w:r>
        <w:t xml:space="preserve">13.</w:t>
      </w:r>
      <w:r>
        <w:t xml:space="preserve"> </w:t>
      </w:r>
      <w:hyperlink r:id="rId9">
        <w:r>
          <w:rPr>
            <w:rStyle w:val="Hyperlink"/>
          </w:rPr>
          <w:t xml:space="preserve">Anuṣṭubh</w:t>
        </w:r>
      </w:hyperlink>
    </w:p>
    <w:p>
      <w:pPr>
        <w:pStyle w:val="BodyText"/>
      </w:pPr>
      <w:r>
        <w:t xml:space="preserve">tat-sūnus sakalārāti-</w:t>
      </w:r>
      <w:r>
        <w:br/>
      </w:r>
      <w:r>
        <w:t xml:space="preserve">-mada-ccheda-karā</w:t>
      </w:r>
      <w:r>
        <w:rPr>
          <w:rStyle w:val="ColorGray"/>
        </w:rPr>
        <w:t xml:space="preserve">⟨49⟩</w:t>
      </w:r>
      <w:r>
        <w:t xml:space="preserve">yudhaḥ</w:t>
      </w:r>
      <w:r>
        <w:br/>
      </w:r>
      <w:r>
        <w:t xml:space="preserve">sevako vijayāditya-</w:t>
      </w:r>
      <w:r>
        <w:br/>
      </w:r>
      <w:r>
        <w:t xml:space="preserve">-kaliyartty-aṁka-bhūbhujaḥ</w:t>
      </w:r>
    </w:p>
    <w:p>
      <w:pPr>
        <w:pStyle w:val="BodyText"/>
      </w:pPr>
      <w:r>
        <w:t xml:space="preserve">14.</w:t>
      </w:r>
      <w:r>
        <w:t xml:space="preserve"> </w:t>
      </w:r>
      <w:hyperlink r:id="rId9">
        <w:r>
          <w:rPr>
            <w:rStyle w:val="Hyperlink"/>
          </w:rPr>
          <w:t xml:space="preserve">Anuṣṭubh</w:t>
        </w:r>
      </w:hyperlink>
    </w:p>
    <w:p>
      <w:pPr>
        <w:pStyle w:val="BodyText"/>
      </w:pPr>
      <w:r>
        <w:t xml:space="preserve">Abhaiṣur bhaṇḍanādityaṁ</w:t>
      </w:r>
      <w:r>
        <w:br/>
      </w:r>
      <w:r>
        <w:t xml:space="preserve">dr̥ṣ(ṭv)ā</w:t>
      </w:r>
      <w:r>
        <w:rPr>
          <w:rStyle w:val="ColorGray"/>
        </w:rPr>
        <w:t xml:space="preserve"> </w:t>
      </w:r>
      <w:r>
        <w:rPr>
          <w:rStyle w:val="ColorGray"/>
        </w:rPr>
        <w:t xml:space="preserve">⟨Page 4v⟩</w:t>
      </w:r>
      <w:r>
        <w:rPr>
          <w:rStyle w:val="ColorGray"/>
        </w:rPr>
        <w:t xml:space="preserve"> </w:t>
      </w:r>
      <w:r>
        <w:rPr>
          <w:rStyle w:val="ColorGray"/>
        </w:rPr>
        <w:t xml:space="preserve"> </w:t>
      </w:r>
      <w:r>
        <w:rPr>
          <w:rStyle w:val="ColorGray"/>
        </w:rPr>
        <w:t xml:space="preserve">⟨50⟩</w:t>
      </w:r>
      <w:r>
        <w:rPr>
          <w:rStyle w:val="ColorGray"/>
        </w:rPr>
        <w:t xml:space="preserve"> </w:t>
      </w:r>
      <w:r>
        <w:t xml:space="preserve">pratimukhāṁ{r}</w:t>
      </w:r>
      <w:r>
        <w:rPr>
          <w:rStyle w:val="ColorMagenta"/>
        </w:rPr>
        <w:t xml:space="preserve">¡jj!</w:t>
      </w:r>
      <w:r>
        <w:rPr>
          <w:rStyle w:val="ColorBlue"/>
        </w:rPr>
        <w:t xml:space="preserve">⟨j⟩</w:t>
      </w:r>
      <w:r>
        <w:t xml:space="preserve">anam</w:t>
      </w:r>
      <w:r>
        <w:br/>
      </w:r>
      <w:r>
        <w:t xml:space="preserve">prāptam ujj⟨v⟩ala-gaṇḍā⟨ṁ⟩kaṁ</w:t>
      </w:r>
      <w:r>
        <w:br/>
      </w:r>
      <w:r>
        <w:t xml:space="preserve">yaṁ pare yama-sannibhaM|</w:t>
      </w:r>
    </w:p>
    <w:p>
      <w:pPr>
        <w:pStyle w:val="BodyText"/>
      </w:pPr>
      <w:r>
        <w:t xml:space="preserve">yo hi|</w:t>
      </w:r>
    </w:p>
    <w:p>
      <w:pPr>
        <w:pStyle w:val="BodyText"/>
      </w:pPr>
      <w:r>
        <w:t xml:space="preserve">15.</w:t>
      </w:r>
      <w:r>
        <w:t xml:space="preserve"> </w:t>
      </w:r>
      <w:hyperlink r:id="rId13">
        <w:r>
          <w:rPr>
            <w:rStyle w:val="Hyperlink"/>
          </w:rPr>
          <w:t xml:space="preserve">Śārdūlavikrīḍita</w:t>
        </w:r>
      </w:hyperlink>
    </w:p>
    <w:p>
      <w:pPr>
        <w:pStyle w:val="BodyText"/>
      </w:pPr>
      <w:r>
        <w:t xml:space="preserve">śātrūṇāṁ</w:t>
      </w:r>
      <w:r>
        <w:rPr>
          <w:rStyle w:val="ColorGray"/>
        </w:rPr>
        <w:t xml:space="preserve"> </w:t>
      </w:r>
      <w:r>
        <w:rPr>
          <w:rStyle w:val="ColorGray"/>
        </w:rPr>
        <w:t xml:space="preserve">⟨51⟩</w:t>
      </w:r>
      <w:r>
        <w:rPr>
          <w:rStyle w:val="ColorGray"/>
        </w:rPr>
        <w:t xml:space="preserve"> </w:t>
      </w:r>
      <w:r>
        <w:t xml:space="preserve">tumuleṣu vīra-paṭahaṁ saṁśrāvya jitvā balaṁ</w:t>
      </w:r>
      <w:r>
        <w:br/>
      </w:r>
      <w:r>
        <w:t xml:space="preserve">kuṁtāditya Iti{|} śrutāṁkita-mahā</w:t>
      </w:r>
      <w:r>
        <w:rPr>
          <w:rStyle w:val="ColorGray"/>
        </w:rPr>
        <w:t xml:space="preserve">⟨52⟩</w:t>
      </w:r>
      <w:r>
        <w:t xml:space="preserve">-kīrtti-pratāpālayaḥ</w:t>
      </w:r>
      <w:r>
        <w:br/>
      </w:r>
      <w:r>
        <w:t xml:space="preserve">mac-cittaṁ paritoṣya bhr̥tya-padavīṁ labdhvā prasāda⟨ṁ⟩ ga{ṁ}taḥ</w:t>
      </w:r>
      <w:r>
        <w:br/>
      </w:r>
      <w:r>
        <w:t xml:space="preserve">sphītā</w:t>
      </w:r>
      <w:r>
        <w:rPr>
          <w:rStyle w:val="ColorGray"/>
        </w:rPr>
        <w:t xml:space="preserve">⟨53⟩</w:t>
      </w:r>
      <w:r>
        <w:t xml:space="preserve">neka-balāri◯-bhūpa-vijay</w:t>
      </w:r>
      <w:r>
        <w:rPr>
          <w:rStyle w:val="ColorRed"/>
        </w:rPr>
        <w:t xml:space="preserve">¿i?</w:t>
      </w:r>
      <w:r>
        <w:rPr>
          <w:rStyle w:val="ColorGreen"/>
        </w:rPr>
        <w:t xml:space="preserve">⟨ī⟩</w:t>
      </w:r>
      <w:r>
        <w:t xml:space="preserve"> </w:t>
      </w:r>
      <w:r>
        <w:t xml:space="preserve">śrī-janma-bāh</w:t>
      </w:r>
      <w:r>
        <w:rPr>
          <w:rStyle w:val="ColorRed"/>
        </w:rPr>
        <w:t xml:space="preserve">¿u?</w:t>
      </w:r>
      <w:r>
        <w:rPr>
          <w:rStyle w:val="ColorGreen"/>
        </w:rPr>
        <w:t xml:space="preserve">⟨ū⟩</w:t>
      </w:r>
      <w:r>
        <w:t xml:space="preserve">nnatiḥ|</w:t>
      </w:r>
    </w:p>
    <w:p>
      <w:pPr>
        <w:pStyle w:val="BodyText"/>
      </w:pPr>
      <w:r>
        <w:t xml:space="preserve">tasmai| sa-dvādaśa-grāmaṭiko</w:t>
      </w:r>
      <w:r>
        <w:rPr>
          <w:rStyle w:val="ColorGray"/>
        </w:rPr>
        <w:t xml:space="preserve"> </w:t>
      </w:r>
      <w:r>
        <w:rPr>
          <w:rStyle w:val="ColorGray"/>
        </w:rPr>
        <w:t xml:space="preserve">⟨54⟩</w:t>
      </w:r>
      <w:r>
        <w:rPr>
          <w:rStyle w:val="ColorGray"/>
        </w:rPr>
        <w:t xml:space="preserve"> </w:t>
      </w:r>
      <w:r>
        <w:t xml:space="preserve">goṁṭūru nā◯ma grāmaḥ sarvva-kara-parihārīkr̥tyāsmābhir ddatta Iti| viditam a</w:t>
      </w:r>
      <w:r>
        <w:rPr>
          <w:rStyle w:val="ColorGray"/>
        </w:rPr>
        <w:t xml:space="preserve">⟨55⟩</w:t>
      </w:r>
      <w:r>
        <w:t xml:space="preserve">stu vo ⟨’⟩smābhiḥ∥</w:t>
      </w:r>
    </w:p>
    <w:p>
      <w:pPr>
        <w:pStyle w:val="BodyText"/>
      </w:pPr>
      <w:r>
        <w:t xml:space="preserve">Asyāvadhayaḥ| pūrvvataḥ goṁguva| dakṣiṇataḥ goṇayūru| paścimata</w:t>
      </w:r>
      <w:r>
        <w:rPr>
          <w:rStyle w:val="ColorGray"/>
        </w:rPr>
        <w:t xml:space="preserve">⟨56⟩</w:t>
      </w:r>
      <w:r>
        <w:t xml:space="preserve">ḥ{|} kaluceṟuvulu| Uttarataḥ maḍapalli| Eteṣām madhya-varttinaḥ kṣetra-sīmānaḥ| pūrvvataḥ{|}</w:t>
      </w:r>
      <w:r>
        <w:rPr>
          <w:rStyle w:val="ColorGray"/>
        </w:rPr>
        <w:t xml:space="preserve"> </w:t>
      </w:r>
      <w:r>
        <w:rPr>
          <w:rStyle w:val="ColorGray"/>
        </w:rPr>
        <w:t xml:space="preserve">⟨57⟩</w:t>
      </w:r>
      <w:r>
        <w:rPr>
          <w:rStyle w:val="ColorGray"/>
        </w:rPr>
        <w:t xml:space="preserve"> </w:t>
      </w:r>
      <w:r>
        <w:t xml:space="preserve">potuṟāyu| Āgneyataḥ{|} peddakoyilamu| dakṣiṇataḥ kuṟuvapoṭi|</w:t>
      </w:r>
      <w:r>
        <w:t xml:space="preserve"> </w:t>
      </w:r>
      <w:r>
        <w:rPr>
          <w:rStyle w:val="ColorMagenta"/>
        </w:rPr>
        <w:t xml:space="preserve">¡nairititaḥ!</w:t>
      </w:r>
      <w:r>
        <w:rPr>
          <w:rStyle w:val="ColorBlue"/>
        </w:rPr>
        <w:t xml:space="preserve">⟨nairr̥tyataḥ⟩</w:t>
      </w:r>
      <w:r>
        <w:t xml:space="preserve"> </w:t>
      </w:r>
      <w:r>
        <w:t xml:space="preserve">pe</w:t>
      </w:r>
      <w:r>
        <w:rPr>
          <w:rStyle w:val="ColorGray"/>
        </w:rPr>
        <w:t xml:space="preserve">⟨Page 5r⟩</w:t>
      </w:r>
      <w:r>
        <w:rPr>
          <w:rStyle w:val="ColorGray"/>
        </w:rPr>
        <w:t xml:space="preserve">⟨58⟩</w:t>
      </w:r>
      <w:r>
        <w:t xml:space="preserve">ruvāti kuṟuva| paścimataḥ{|} pālaguṁṭṭa paḍumaṭikaṭṭa| vāyavyataḥ{|} polaku</w:t>
      </w:r>
      <w:r>
        <w:rPr>
          <w:rStyle w:val="ColorGray"/>
        </w:rPr>
        <w:t xml:space="preserve">⟨59⟩</w:t>
      </w:r>
      <w:r>
        <w:t xml:space="preserve">ṁgoṇḍa monadurgga bhadhavati| Uttarataḥ maḍapallipaṟṟu|</w:t>
      </w:r>
      <w:r>
        <w:t xml:space="preserve"> </w:t>
      </w:r>
      <w:r>
        <w:rPr>
          <w:rStyle w:val="ColorMagenta"/>
        </w:rPr>
        <w:t xml:space="preserve">¡Īśānataḥ!</w:t>
      </w:r>
      <w:r>
        <w:rPr>
          <w:rStyle w:val="ColorBlue"/>
        </w:rPr>
        <w:t xml:space="preserve">⟨Aiśānataḥ⟩</w:t>
      </w:r>
      <w:r>
        <w:t xml:space="preserve"> </w:t>
      </w:r>
      <w:r>
        <w:t xml:space="preserve">cāmiṟenigu</w:t>
      </w:r>
      <w:r>
        <w:rPr>
          <w:rStyle w:val="ColorGray"/>
        </w:rPr>
        <w:t xml:space="preserve">⟨60⟩</w:t>
      </w:r>
      <w:r>
        <w:t xml:space="preserve">ṁṭṭa∥</w:t>
      </w:r>
    </w:p>
    <w:p>
      <w:pPr>
        <w:pStyle w:val="BodyText"/>
      </w:pPr>
      <w:r>
        <w:t xml:space="preserve">Asyopari na kenacid bādhā karttavyā⟨.⟩ yaḥ karoti sa paṁca-mahā-pātako bhava</w:t>
      </w:r>
      <w:r>
        <w:rPr>
          <w:rStyle w:val="ColorGray"/>
        </w:rPr>
        <w:t xml:space="preserve">⟨61⟩</w:t>
      </w:r>
      <w:r>
        <w:t xml:space="preserve">ti⟨.⟩ tathā ca ◯ vyāsenoktaṁ</w:t>
      </w:r>
    </w:p>
    <w:p>
      <w:pPr>
        <w:pStyle w:val="BodyText"/>
      </w:pPr>
      <w:r>
        <w:t xml:space="preserve">16.</w:t>
      </w:r>
      <w:r>
        <w:t xml:space="preserve"> </w:t>
      </w:r>
      <w:hyperlink r:id="rId9">
        <w:r>
          <w:rPr>
            <w:rStyle w:val="Hyperlink"/>
          </w:rPr>
          <w:t xml:space="preserve">Anuṣṭubh</w:t>
        </w:r>
      </w:hyperlink>
    </w:p>
    <w:p>
      <w:pPr>
        <w:pStyle w:val="BodyText"/>
      </w:pPr>
      <w:r>
        <w:t xml:space="preserve">bahubhir vvasudhā dattā</w:t>
      </w:r>
      <w:r>
        <w:br/>
      </w:r>
      <w:r>
        <w:t xml:space="preserve">bahubhiś cānupālitā</w:t>
      </w:r>
      <w:r>
        <w:br/>
      </w:r>
      <w:r>
        <w:t xml:space="preserve">yasya</w:t>
      </w:r>
      <w:r>
        <w:rPr>
          <w:rStyle w:val="ColorGray"/>
        </w:rPr>
        <w:t xml:space="preserve"> </w:t>
      </w:r>
      <w:r>
        <w:rPr>
          <w:rStyle w:val="ColorGray"/>
        </w:rPr>
        <w:t xml:space="preserve">⟨62⟩</w:t>
      </w:r>
      <w:r>
        <w:rPr>
          <w:rStyle w:val="ColorGray"/>
        </w:rPr>
        <w:t xml:space="preserve"> </w:t>
      </w:r>
      <w:r>
        <w:t xml:space="preserve">yasya ya◯dā bhūmis</w:t>
      </w:r>
      <w:r>
        <w:br/>
      </w:r>
      <w:r>
        <w:t xml:space="preserve">tasya tasya tadā phalaM∥</w:t>
      </w:r>
    </w:p>
    <w:p>
      <w:pPr>
        <w:pStyle w:val="BodyText"/>
      </w:pPr>
      <w:r>
        <w:t xml:space="preserve">17.</w:t>
      </w:r>
      <w:r>
        <w:t xml:space="preserve"> </w:t>
      </w:r>
      <w:hyperlink r:id="rId9">
        <w:r>
          <w:rPr>
            <w:rStyle w:val="Hyperlink"/>
          </w:rPr>
          <w:t xml:space="preserve">Anuṣṭubh</w:t>
        </w:r>
      </w:hyperlink>
    </w:p>
    <w:p>
      <w:pPr>
        <w:pStyle w:val="BodyText"/>
      </w:pPr>
      <w:r>
        <w:t xml:space="preserve">sva-dattāṁ para-dattāṁ vā</w:t>
      </w:r>
      <w:r>
        <w:br/>
      </w:r>
      <w:r>
        <w:t xml:space="preserve">yo ha</w:t>
      </w:r>
      <w:r>
        <w:rPr>
          <w:rStyle w:val="ColorGray"/>
        </w:rPr>
        <w:t xml:space="preserve">⟨63⟩</w:t>
      </w:r>
      <w:r>
        <w:t xml:space="preserve">re</w:t>
      </w:r>
      <w:r>
        <w:rPr>
          <w:rStyle w:val="ColorMagenta"/>
        </w:rPr>
        <w:t xml:space="preserve">¡t tu!</w:t>
      </w:r>
      <w:r>
        <w:t xml:space="preserve"> </w:t>
      </w:r>
      <w:r>
        <w:t xml:space="preserve">vasundharā◯</w:t>
      </w:r>
      <w:r>
        <w:rPr>
          <w:rStyle w:val="ColorMagenta"/>
        </w:rPr>
        <w:t xml:space="preserve">¡N!</w:t>
      </w:r>
      <w:r>
        <w:br/>
      </w:r>
      <w:r>
        <w:t xml:space="preserve">ṣaṣṭiṁ varṣa-sahasrāṇi</w:t>
      </w:r>
      <w:r>
        <w:br/>
      </w:r>
      <w:r>
        <w:t xml:space="preserve">viṣṭhāyāṁ jāyate kr̥mi⟨⟨ḥ⟩⟩∥</w:t>
      </w:r>
    </w:p>
    <w:p>
      <w:pPr>
        <w:pStyle w:val="BodyText"/>
      </w:pPr>
      <w:r>
        <w:rPr>
          <w:rStyle w:val="ColorGray"/>
        </w:rPr>
        <w:t xml:space="preserve">⟨Page 5v⟩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⟨1⟩</w:t>
      </w:r>
      <w:r>
        <w:t xml:space="preserve"> </w:t>
      </w:r>
      <w:r>
        <w:rPr>
          <w:rStyle w:val="ColorMagenta"/>
        </w:rPr>
        <w:t xml:space="preserve">¡cc!</w:t>
      </w:r>
      <w:r>
        <w:rPr>
          <w:rStyle w:val="ColorBlue"/>
        </w:rPr>
        <w:t xml:space="preserve">⟨c⟩</w:t>
      </w:r>
      <w:r>
        <w:t xml:space="preserve">a EH ⬦</w:t>
      </w:r>
      <w:r>
        <w:t xml:space="preserve"> </w:t>
      </w:r>
      <w:r>
        <w:rPr>
          <w:rStyle w:val="ColorGreen"/>
          <w:i/>
          <w:iCs/>
        </w:rPr>
        <w:t xml:space="preserve">{ś}ca</w:t>
      </w:r>
      <w:r>
        <w:t xml:space="preserve"> </w:t>
      </w:r>
      <w:r>
        <w:t xml:space="preserve">NS.</w:t>
      </w:r>
    </w:p>
    <w:p>
      <w:pPr>
        <w:pStyle w:val="BodyText"/>
      </w:pPr>
      <w:r>
        <w:rPr>
          <w:rStyle w:val="ColorGray"/>
        </w:rPr>
        <w:t xml:space="preserve">⟨5⟩</w:t>
      </w:r>
      <w:r>
        <w:t xml:space="preserve"> </w:t>
      </w:r>
      <w:r>
        <w:t xml:space="preserve">°āvabhr̥tha- EH ⬦</w:t>
      </w:r>
      <w:r>
        <w:t xml:space="preserve"> </w:t>
      </w:r>
      <w:r>
        <w:rPr>
          <w:rStyle w:val="ColorGreen"/>
          <w:i/>
          <w:iCs/>
        </w:rPr>
        <w:t xml:space="preserve">°āvabhr̥</w:t>
      </w:r>
      <w:r>
        <w:rPr>
          <w:rStyle w:val="ColorRed"/>
          <w:i/>
          <w:iCs/>
        </w:rPr>
        <w:t xml:space="preserve">¿t?</w:t>
      </w:r>
      <w:r>
        <w:rPr>
          <w:rStyle w:val="ColorGreen"/>
          <w:i/>
          <w:iCs/>
        </w:rPr>
        <w:t xml:space="preserve">⟨th⟩</w:t>
      </w:r>
      <w:r>
        <w:rPr>
          <w:rStyle w:val="ColorGreen"/>
          <w:i/>
          <w:iCs/>
        </w:rPr>
        <w:t xml:space="preserve">a-</w:t>
      </w:r>
      <w:r>
        <w:t xml:space="preserve"> </w:t>
      </w:r>
      <w:r>
        <w:t xml:space="preserve">NS.</w:t>
      </w:r>
    </w:p>
    <w:p>
      <w:pPr>
        <w:pStyle w:val="BodyText"/>
      </w:pPr>
      <w:r>
        <w:rPr>
          <w:rStyle w:val="ColorGray"/>
        </w:rPr>
        <w:t xml:space="preserve">⟨6⟩</w:t>
      </w:r>
      <w:r>
        <w:t xml:space="preserve"> </w:t>
      </w:r>
      <w:r>
        <w:t xml:space="preserve">-vallabh⟦e⟧⟨⟨a⟩⟩sya • The engraver probably started to write</w:t>
      </w:r>
      <w:r>
        <w:t xml:space="preserve"> </w:t>
      </w:r>
      <w:r>
        <w:rPr>
          <w:i/>
          <w:iCs/>
        </w:rPr>
        <w:t xml:space="preserve">-vallabhendrasya</w:t>
      </w:r>
      <w:r>
        <w:t xml:space="preserve"> </w:t>
      </w:r>
      <w:r>
        <w:t xml:space="preserve">at first, then either decided on the fly for</w:t>
      </w:r>
      <w:r>
        <w:t xml:space="preserve"> </w:t>
      </w:r>
      <w:r>
        <w:rPr>
          <w:i/>
          <w:iCs/>
        </w:rPr>
        <w:t xml:space="preserve">vallabhasya</w:t>
      </w:r>
      <w:r>
        <w:t xml:space="preserve"> </w:t>
      </w:r>
      <w:r>
        <w:t xml:space="preserve">instead, or omitted the</w:t>
      </w:r>
      <w:r>
        <w:t xml:space="preserve"> </w:t>
      </w:r>
      <w:r>
        <w:rPr>
          <w:i/>
          <w:iCs/>
        </w:rPr>
        <w:t xml:space="preserve">ndra</w:t>
      </w:r>
      <w:r>
        <w:t xml:space="preserve"> </w:t>
      </w:r>
      <w:r>
        <w:t xml:space="preserve">and subsequently rectified this by deleting the</w:t>
      </w:r>
      <w:r>
        <w:t xml:space="preserve"> </w:t>
      </w:r>
      <w:r>
        <w:rPr>
          <w:i/>
          <w:iCs/>
        </w:rPr>
        <w:t xml:space="preserve">e</w:t>
      </w:r>
      <w:r>
        <w:t xml:space="preserve"> </w:t>
      </w:r>
      <w:r>
        <w:t xml:space="preserve">instead of inserting</w:t>
      </w:r>
      <w:r>
        <w:t xml:space="preserve"> </w:t>
      </w:r>
      <w:r>
        <w:rPr>
          <w:i/>
          <w:iCs/>
        </w:rPr>
        <w:t xml:space="preserve">ndra</w:t>
      </w:r>
      <w:r>
        <w:t xml:space="preserve">.</w:t>
      </w:r>
    </w:p>
    <w:p>
      <w:pPr>
        <w:pStyle w:val="BodyText"/>
      </w:pPr>
      <w:r>
        <w:rPr>
          <w:rStyle w:val="ColorGray"/>
        </w:rPr>
        <w:t xml:space="preserve">⟨8⟩</w:t>
      </w:r>
      <w:r>
        <w:t xml:space="preserve"> </w:t>
      </w:r>
      <w:r>
        <w:t xml:space="preserve">vi(ṣṇu)varddhanaḥ • The left side of the subscript</w:t>
      </w:r>
      <w:r>
        <w:t xml:space="preserve"> </w:t>
      </w:r>
      <w:r>
        <w:rPr>
          <w:i/>
          <w:iCs/>
        </w:rPr>
        <w:t xml:space="preserve">ṇ</w:t>
      </w:r>
      <w:r>
        <w:t xml:space="preserve"> </w:t>
      </w:r>
      <w:r>
        <w:t xml:space="preserve">is missing. It seems that the stem and top right wing of this graph was engraved as a continuation (or start) of the dependent</w:t>
      </w:r>
      <w:r>
        <w:t xml:space="preserve"> </w:t>
      </w:r>
      <w:r>
        <w:rPr>
          <w:i/>
          <w:iCs/>
        </w:rPr>
        <w:t xml:space="preserve">u</w:t>
      </w:r>
      <w:r>
        <w:t xml:space="preserve">, while the body and the left wing of</w:t>
      </w:r>
      <w:r>
        <w:t xml:space="preserve"> </w:t>
      </w:r>
      <w:r>
        <w:rPr>
          <w:i/>
          <w:iCs/>
        </w:rPr>
        <w:t xml:space="preserve">ṇ</w:t>
      </w:r>
      <w:r>
        <w:t xml:space="preserve"> </w:t>
      </w:r>
      <w:r>
        <w:t xml:space="preserve">would have been engraved afterward but was forgotten. —</w:t>
      </w:r>
      <w:r>
        <w:t xml:space="preserve"> </w:t>
      </w:r>
      <w:r>
        <w:rPr>
          <w:rStyle w:val="ColorGray"/>
        </w:rPr>
        <w:t xml:space="preserve">⟨8⟩</w:t>
      </w:r>
      <w:r>
        <w:t xml:space="preserve"> </w:t>
      </w:r>
      <w:r>
        <w:t xml:space="preserve">saṁvatsarāN⟨.⟩ ⬦</w:t>
      </w:r>
      <w:r>
        <w:t xml:space="preserve"> </w:t>
      </w:r>
      <w:r>
        <w:rPr>
          <w:rStyle w:val="ColorGreen"/>
          <w:i/>
          <w:iCs/>
        </w:rPr>
        <w:t xml:space="preserve">saṁvatsarāN|</w:t>
      </w:r>
      <w:r>
        <w:t xml:space="preserve"> </w:t>
      </w:r>
      <w:r>
        <w:t xml:space="preserve">EH NS.</w:t>
      </w:r>
    </w:p>
    <w:p>
      <w:pPr>
        <w:pStyle w:val="BodyText"/>
      </w:pPr>
      <w:r>
        <w:rPr>
          <w:rStyle w:val="ColorGray"/>
        </w:rPr>
        <w:t xml:space="preserve">⟨10⟩</w:t>
      </w:r>
      <w:r>
        <w:t xml:space="preserve"> </w:t>
      </w:r>
      <w:r>
        <w:t xml:space="preserve">uccāṭy</w:t>
      </w:r>
      <w:r>
        <w:rPr>
          <w:rStyle w:val="ColorRed"/>
        </w:rPr>
        <w:t xml:space="preserve">¿ā?</w:t>
      </w:r>
      <w:r>
        <w:rPr>
          <w:rStyle w:val="ColorGreen"/>
        </w:rPr>
        <w:t xml:space="preserve">⟨a⟩</w:t>
      </w:r>
      <w:r>
        <w:t xml:space="preserve"> </w:t>
      </w:r>
      <w:r>
        <w:t xml:space="preserve">EH ⬦</w:t>
      </w:r>
      <w:r>
        <w:t xml:space="preserve"> </w:t>
      </w:r>
      <w:r>
        <w:rPr>
          <w:rStyle w:val="ColorGreen"/>
          <w:i/>
          <w:iCs/>
        </w:rPr>
        <w:t xml:space="preserve">udvāpya</w:t>
      </w:r>
      <w:r>
        <w:t xml:space="preserve"> </w:t>
      </w:r>
      <w:r>
        <w:t xml:space="preserve">NS.</w:t>
      </w:r>
    </w:p>
    <w:p>
      <w:pPr>
        <w:pStyle w:val="BodyText"/>
      </w:pPr>
      <w:r>
        <w:rPr>
          <w:rStyle w:val="ColorGray"/>
        </w:rPr>
        <w:t xml:space="preserve">⟨12⟩</w:t>
      </w:r>
      <w:r>
        <w:t xml:space="preserve"> </w:t>
      </w:r>
      <w:r>
        <w:t xml:space="preserve">sārddhaM EH ⬦</w:t>
      </w:r>
      <w:r>
        <w:t xml:space="preserve"> </w:t>
      </w:r>
      <w:r>
        <w:rPr>
          <w:rStyle w:val="ColorGreen"/>
          <w:i/>
          <w:iCs/>
        </w:rPr>
        <w:t xml:space="preserve">sārddhān</w:t>
      </w:r>
      <w:r>
        <w:t xml:space="preserve"> </w:t>
      </w:r>
      <w:r>
        <w:t xml:space="preserve">NS. —</w:t>
      </w:r>
      <w:r>
        <w:t xml:space="preserve"> </w:t>
      </w:r>
      <w:r>
        <w:rPr>
          <w:rStyle w:val="ColorGray"/>
        </w:rPr>
        <w:t xml:space="preserve">⟨12⟩</w:t>
      </w:r>
      <w:r>
        <w:t xml:space="preserve"> </w:t>
      </w:r>
      <w:r>
        <w:t xml:space="preserve">-bala</w:t>
      </w:r>
      <w:r>
        <w:rPr>
          <w:rStyle w:val="ColorRed"/>
        </w:rPr>
        <w:t xml:space="preserve">¿ṁ?</w:t>
      </w:r>
      <w:r>
        <w:rPr>
          <w:rStyle w:val="ColorGreen"/>
        </w:rPr>
        <w:t xml:space="preserve">⟨ḥ⟩</w:t>
      </w:r>
      <w:r>
        <w:t xml:space="preserve"> </w:t>
      </w:r>
      <w:r>
        <w:t xml:space="preserve">⬦</w:t>
      </w:r>
      <w:r>
        <w:t xml:space="preserve"> </w:t>
      </w:r>
      <w:r>
        <w:rPr>
          <w:rStyle w:val="ColorGreen"/>
          <w:i/>
          <w:iCs/>
        </w:rPr>
        <w:t xml:space="preserve">-balaṁ</w:t>
      </w:r>
      <w:r>
        <w:t xml:space="preserve"> </w:t>
      </w:r>
      <w:r>
        <w:t xml:space="preserve">EH;</w:t>
      </w:r>
      <w:r>
        <w:t xml:space="preserve"> </w:t>
      </w:r>
      <w:r>
        <w:rPr>
          <w:rStyle w:val="ColorGreen"/>
          <w:i/>
          <w:iCs/>
        </w:rPr>
        <w:t xml:space="preserve">-bala-</w:t>
      </w:r>
      <w:r>
        <w:t xml:space="preserve"> </w:t>
      </w:r>
      <w:r>
        <w:t xml:space="preserve">NS JFF1 • The</w:t>
      </w:r>
      <w:r>
        <w:t xml:space="preserve"> </w:t>
      </w:r>
      <w:r>
        <w:rPr>
          <w:i/>
          <w:iCs/>
        </w:rPr>
        <w:t xml:space="preserve">anusvāra</w:t>
      </w:r>
      <w:r>
        <w:t xml:space="preserve"> </w:t>
      </w:r>
      <w:r>
        <w:t xml:space="preserve">is a very small dot here (cf. the one at the end of l. 14) and may have been meant for the upper dot of a</w:t>
      </w:r>
      <w:r>
        <w:t xml:space="preserve"> </w:t>
      </w:r>
      <w:r>
        <w:rPr>
          <w:i/>
          <w:iCs/>
        </w:rPr>
        <w:t xml:space="preserve">visarga</w:t>
      </w:r>
      <w:r>
        <w:t xml:space="preserve">. Even if this is not the case, I do not think an adverbial neuter accusative was intended here.</w:t>
      </w:r>
    </w:p>
    <w:p>
      <w:pPr>
        <w:pStyle w:val="BodyText"/>
      </w:pPr>
      <w:r>
        <w:rPr>
          <w:rStyle w:val="ColorGray"/>
        </w:rPr>
        <w:t xml:space="preserve">⟨13⟩</w:t>
      </w:r>
      <w:r>
        <w:t xml:space="preserve"> </w:t>
      </w:r>
      <w:r>
        <w:t xml:space="preserve">khaḍga EH ⬦</w:t>
      </w:r>
      <w:r>
        <w:t xml:space="preserve"> </w:t>
      </w:r>
      <w:r>
        <w:rPr>
          <w:rStyle w:val="ColorGreen"/>
          <w:i/>
          <w:iCs/>
        </w:rPr>
        <w:t xml:space="preserve">padga</w:t>
      </w:r>
      <w:r>
        <w:t xml:space="preserve"> </w:t>
      </w:r>
      <w:r>
        <w:t xml:space="preserve">NS.</w:t>
      </w:r>
    </w:p>
    <w:p>
      <w:pPr>
        <w:pStyle w:val="BodyText"/>
      </w:pPr>
      <w:r>
        <w:rPr>
          <w:rStyle w:val="ColorGray"/>
        </w:rPr>
        <w:t xml:space="preserve">⟨14⟩</w:t>
      </w:r>
      <w:r>
        <w:t xml:space="preserve"> </w:t>
      </w:r>
      <w:r>
        <w:t xml:space="preserve">rājyaṁ</w:t>
      </w:r>
      <w:r>
        <w:rPr>
          <w:rStyle w:val="ColorGray"/>
        </w:rPr>
        <w:t xml:space="preserve"> </w:t>
      </w:r>
      <w:r>
        <w:rPr>
          <w:rStyle w:val="ColorGray"/>
        </w:rPr>
        <w:t xml:space="preserve">⟨15⟩</w:t>
      </w:r>
      <w:r>
        <w:rPr>
          <w:rStyle w:val="ColorGray"/>
        </w:rPr>
        <w:t xml:space="preserve"> </w:t>
      </w:r>
      <w:r>
        <w:t xml:space="preserve">sa veṁggīś</w:t>
      </w:r>
      <w:r>
        <w:rPr>
          <w:rStyle w:val="ColorMagenta"/>
        </w:rPr>
        <w:t xml:space="preserve">¡a|s!</w:t>
      </w:r>
      <w:r>
        <w:rPr>
          <w:rStyle w:val="ColorBlue"/>
        </w:rPr>
        <w:t xml:space="preserve">⟨aḥ|⟩</w:t>
      </w:r>
      <w:r>
        <w:t xml:space="preserve"> </w:t>
      </w:r>
      <w:r>
        <w:t xml:space="preserve">sa catvāriṁśatas ⬦</w:t>
      </w:r>
      <w:r>
        <w:t xml:space="preserve"> </w:t>
      </w:r>
      <w:r>
        <w:rPr>
          <w:rStyle w:val="ColorGreen"/>
          <w:i/>
          <w:iCs/>
        </w:rPr>
        <w:t xml:space="preserve">rājyaṁ</w:t>
      </w:r>
      <w:r>
        <w:rPr>
          <w:rStyle w:val="ColorGray"/>
          <w:i/>
          <w:iCs/>
        </w:rPr>
        <w:t xml:space="preserve"> </w:t>
      </w:r>
      <w:r>
        <w:rPr>
          <w:rStyle w:val="ColorGray"/>
          <w:i/>
          <w:iCs/>
        </w:rPr>
        <w:t xml:space="preserve">⟨15⟩</w:t>
      </w:r>
      <w:r>
        <w:rPr>
          <w:rStyle w:val="ColorGray"/>
          <w:i/>
          <w:iCs/>
        </w:rPr>
        <w:t xml:space="preserve"> </w:t>
      </w:r>
      <w:r>
        <w:rPr>
          <w:rStyle w:val="ColorGreen"/>
          <w:i/>
          <w:iCs/>
        </w:rPr>
        <w:t xml:space="preserve">sa veṁggīś</w:t>
      </w:r>
      <w:r>
        <w:rPr>
          <w:rStyle w:val="ColorRed"/>
          <w:i/>
          <w:iCs/>
        </w:rPr>
        <w:t xml:space="preserve">¿ā?</w:t>
      </w:r>
      <w:r>
        <w:rPr>
          <w:rStyle w:val="ColorGreen"/>
          <w:i/>
          <w:iCs/>
        </w:rPr>
        <w:t xml:space="preserve">⟨a⟩</w:t>
      </w:r>
      <w:r>
        <w:rPr>
          <w:rStyle w:val="ColorGreen"/>
          <w:i/>
          <w:iCs/>
        </w:rPr>
        <w:t xml:space="preserve">s sa catvāriṁśatas</w:t>
      </w:r>
      <w:r>
        <w:t xml:space="preserve"> </w:t>
      </w:r>
      <w:r>
        <w:t xml:space="preserve">EH;</w:t>
      </w:r>
      <w:r>
        <w:t xml:space="preserve"> </w:t>
      </w:r>
      <w:r>
        <w:rPr>
          <w:rStyle w:val="ColorGreen"/>
          <w:i/>
          <w:iCs/>
        </w:rPr>
        <w:t xml:space="preserve">rājyaṁ sa Gaṅgīśa</w:t>
      </w:r>
      <w:r>
        <w:rPr>
          <w:rStyle w:val="ColorGray"/>
          <w:i/>
          <w:iCs/>
        </w:rPr>
        <w:t xml:space="preserve"> </w:t>
      </w:r>
      <w:r>
        <w:rPr>
          <w:rStyle w:val="ColorGray"/>
          <w:i/>
          <w:iCs/>
        </w:rPr>
        <w:t xml:space="preserve">⟨15⟩</w:t>
      </w:r>
      <w:r>
        <w:rPr>
          <w:rStyle w:val="ColorGray"/>
          <w:i/>
          <w:iCs/>
        </w:rPr>
        <w:t xml:space="preserve"> </w:t>
      </w:r>
      <w:r>
        <w:rPr>
          <w:rStyle w:val="ColorGreen"/>
          <w:i/>
          <w:iCs/>
        </w:rPr>
        <w:t xml:space="preserve">catvāriṁśat-</w:t>
      </w:r>
      <w:r>
        <w:t xml:space="preserve"> </w:t>
      </w:r>
      <w:r>
        <w:t xml:space="preserve">NS.</w:t>
      </w:r>
    </w:p>
    <w:p>
      <w:pPr>
        <w:pStyle w:val="BodyText"/>
      </w:pPr>
      <w:r>
        <w:rPr>
          <w:rStyle w:val="ColorGray"/>
        </w:rPr>
        <w:t xml:space="preserve">⟨16⟩</w:t>
      </w:r>
      <w:r>
        <w:t xml:space="preserve"> </w:t>
      </w:r>
      <w:r>
        <w:rPr>
          <w:rStyle w:val="ColorRed"/>
        </w:rPr>
        <w:t xml:space="preserve">¿ṇṇ?</w:t>
      </w:r>
      <w:r>
        <w:rPr>
          <w:rStyle w:val="ColorGreen"/>
        </w:rPr>
        <w:t xml:space="preserve">⟨nn⟩</w:t>
      </w:r>
      <w:r>
        <w:t xml:space="preserve">ayavi{T}d vīraḥ EH ⬦</w:t>
      </w:r>
      <w:r>
        <w:t xml:space="preserve"> </w:t>
      </w:r>
      <w:r>
        <w:rPr>
          <w:rStyle w:val="ColorGreen"/>
          <w:i/>
          <w:iCs/>
        </w:rPr>
        <w:t xml:space="preserve">nayavān-vīraḥ</w:t>
      </w:r>
      <w:r>
        <w:t xml:space="preserve"> </w:t>
      </w:r>
      <w:r>
        <w:t xml:space="preserve">NS.</w:t>
      </w:r>
    </w:p>
    <w:p>
      <w:pPr>
        <w:pStyle w:val="BodyText"/>
      </w:pPr>
      <w:r>
        <w:rPr>
          <w:rStyle w:val="ColorGray"/>
        </w:rPr>
        <w:t xml:space="preserve">⟨17⟩</w:t>
      </w:r>
      <w:r>
        <w:t xml:space="preserve"> </w:t>
      </w:r>
      <w:r>
        <w:t xml:space="preserve">ka</w:t>
      </w:r>
      <w:r>
        <w:rPr>
          <w:rStyle w:val="ColorMagenta"/>
        </w:rPr>
        <w:t xml:space="preserve">¡ḷ!</w:t>
      </w:r>
      <w:r>
        <w:rPr>
          <w:rStyle w:val="ColorBlue"/>
        </w:rPr>
        <w:t xml:space="preserve">⟨l⟩</w:t>
      </w:r>
      <w:r>
        <w:t xml:space="preserve">au kr̥tī ⬦</w:t>
      </w:r>
      <w:r>
        <w:t xml:space="preserve"> </w:t>
      </w:r>
      <w:r>
        <w:rPr>
          <w:rStyle w:val="ColorGreen"/>
          <w:i/>
          <w:iCs/>
        </w:rPr>
        <w:t xml:space="preserve">kaḷau kr̥tī</w:t>
      </w:r>
      <w:r>
        <w:t xml:space="preserve"> </w:t>
      </w:r>
      <w:r>
        <w:t xml:space="preserve">EH;</w:t>
      </w:r>
      <w:r>
        <w:t xml:space="preserve"> </w:t>
      </w:r>
      <w:r>
        <w:rPr>
          <w:rStyle w:val="ColorGreen"/>
          <w:i/>
          <w:iCs/>
        </w:rPr>
        <w:t xml:space="preserve">karṣākr̥tī</w:t>
      </w:r>
      <w:r>
        <w:t xml:space="preserve"> </w:t>
      </w:r>
      <w:r>
        <w:t xml:space="preserve">NS. —</w:t>
      </w:r>
      <w:r>
        <w:t xml:space="preserve"> </w:t>
      </w:r>
      <w:r>
        <w:rPr>
          <w:rStyle w:val="ColorGray"/>
        </w:rPr>
        <w:t xml:space="preserve">⟨17⟩</w:t>
      </w:r>
      <w:r>
        <w:t xml:space="preserve"> </w:t>
      </w:r>
      <w:r>
        <w:t xml:space="preserve">-dakṣa-rakṣā- EH ⬦</w:t>
      </w:r>
      <w:r>
        <w:t xml:space="preserve"> </w:t>
      </w:r>
      <w:r>
        <w:rPr>
          <w:rStyle w:val="ColorGreen"/>
          <w:i/>
          <w:iCs/>
        </w:rPr>
        <w:t xml:space="preserve">-rakṣā-</w:t>
      </w:r>
      <w:r>
        <w:t xml:space="preserve"> </w:t>
      </w:r>
      <w:r>
        <w:t xml:space="preserve">NS.</w:t>
      </w:r>
    </w:p>
    <w:p>
      <w:pPr>
        <w:pStyle w:val="BodyText"/>
      </w:pPr>
      <w:r>
        <w:rPr>
          <w:rStyle w:val="ColorGray"/>
        </w:rPr>
        <w:t xml:space="preserve">⟨19⟩</w:t>
      </w:r>
      <w:r>
        <w:t xml:space="preserve"> </w:t>
      </w:r>
      <w:r>
        <w:t xml:space="preserve">-tej</w:t>
      </w:r>
      <w:r>
        <w:rPr>
          <w:rStyle w:val="ColorRed"/>
        </w:rPr>
        <w:t xml:space="preserve">¿a?</w:t>
      </w:r>
      <w:r>
        <w:rPr>
          <w:rStyle w:val="ColorGreen"/>
        </w:rPr>
        <w:t xml:space="preserve">⟨ā⟩</w:t>
      </w:r>
      <w:r>
        <w:t xml:space="preserve">ḥ NS ⬦</w:t>
      </w:r>
      <w:r>
        <w:t xml:space="preserve"> </w:t>
      </w:r>
      <w:r>
        <w:rPr>
          <w:rStyle w:val="ColorGreen"/>
          <w:i/>
          <w:iCs/>
        </w:rPr>
        <w:t xml:space="preserve">-tejāḥ</w:t>
      </w:r>
      <w:r>
        <w:t xml:space="preserve"> </w:t>
      </w:r>
      <w:r>
        <w:t xml:space="preserve">EH. —</w:t>
      </w:r>
      <w:r>
        <w:t xml:space="preserve"> </w:t>
      </w:r>
      <w:r>
        <w:rPr>
          <w:rStyle w:val="ColorGray"/>
        </w:rPr>
        <w:t xml:space="preserve">⟨19⟩</w:t>
      </w:r>
      <w:r>
        <w:t xml:space="preserve"> </w:t>
      </w:r>
      <w:r>
        <w:rPr>
          <w:rStyle w:val="ColorMagenta"/>
        </w:rPr>
        <w:t xml:space="preserve">¡pp!</w:t>
      </w:r>
      <w:r>
        <w:rPr>
          <w:rStyle w:val="ColorBlue"/>
        </w:rPr>
        <w:t xml:space="preserve">⟨p⟩</w:t>
      </w:r>
      <w:r>
        <w:t xml:space="preserve">atiḥ • This</w:t>
      </w:r>
      <w:r>
        <w:t xml:space="preserve"> </w:t>
      </w:r>
      <w:r>
        <w:rPr>
          <w:i/>
          <w:iCs/>
        </w:rPr>
        <w:t xml:space="preserve">visarga</w:t>
      </w:r>
      <w:r>
        <w:t xml:space="preserve"> </w:t>
      </w:r>
      <w:r>
        <w:t xml:space="preserve">was probably corrected from a</w:t>
      </w:r>
      <w:r>
        <w:t xml:space="preserve"> </w:t>
      </w:r>
      <w:r>
        <w:rPr>
          <w:i/>
          <w:iCs/>
        </w:rPr>
        <w:t xml:space="preserve">daṇḍa</w:t>
      </w:r>
      <w:r>
        <w:t xml:space="preserve">. —</w:t>
      </w:r>
      <w:r>
        <w:t xml:space="preserve"> </w:t>
      </w:r>
      <w:r>
        <w:rPr>
          <w:rStyle w:val="ColorGray"/>
        </w:rPr>
        <w:t xml:space="preserve">⟨19⟩</w:t>
      </w:r>
      <w:r>
        <w:t xml:space="preserve"> </w:t>
      </w:r>
      <w:r>
        <w:rPr>
          <w:rStyle w:val="ColorRed"/>
        </w:rPr>
        <w:t xml:space="preserve">¿ṇ?</w:t>
      </w:r>
      <w:r>
        <w:rPr>
          <w:rStyle w:val="ColorGreen"/>
        </w:rPr>
        <w:t xml:space="preserve">⟨n⟩</w:t>
      </w:r>
      <w:r>
        <w:t xml:space="preserve">⟦(ṇ)⟧aya- ⬦</w:t>
      </w:r>
      <w:r>
        <w:t xml:space="preserve"> </w:t>
      </w:r>
      <w:r>
        <w:rPr>
          <w:rStyle w:val="ColorGreen"/>
          <w:i/>
          <w:iCs/>
        </w:rPr>
        <w:t xml:space="preserve">(na)ya-</w:t>
      </w:r>
      <w:r>
        <w:t xml:space="preserve"> </w:t>
      </w:r>
      <w:r>
        <w:t xml:space="preserve">EH;</w:t>
      </w:r>
      <w:r>
        <w:t xml:space="preserve"> </w:t>
      </w:r>
      <w:r>
        <w:rPr>
          <w:rStyle w:val="ColorGreen"/>
          <w:i/>
          <w:iCs/>
        </w:rPr>
        <w:t xml:space="preserve">jaya-</w:t>
      </w:r>
      <w:r>
        <w:t xml:space="preserve"> </w:t>
      </w:r>
      <w:r>
        <w:t xml:space="preserve">NS.</w:t>
      </w:r>
    </w:p>
    <w:p>
      <w:pPr>
        <w:pStyle w:val="BodyText"/>
      </w:pPr>
      <w:r>
        <w:rPr>
          <w:rStyle w:val="ColorGray"/>
        </w:rPr>
        <w:t xml:space="preserve">⟨22⟩</w:t>
      </w:r>
      <w:r>
        <w:t xml:space="preserve"> </w:t>
      </w:r>
      <w:r>
        <w:t xml:space="preserve">-krama</w:t>
      </w:r>
      <w:r>
        <w:rPr>
          <w:rStyle w:val="ColorGray"/>
        </w:rPr>
        <w:t xml:space="preserve">⟨23⟩</w:t>
      </w:r>
      <w:r>
        <w:t xml:space="preserve">ṇonnatiḥ • Hultzsch suggests that this may be emended to</w:t>
      </w:r>
      <w:r>
        <w:t xml:space="preserve"> </w:t>
      </w:r>
      <w:r>
        <w:rPr>
          <w:i/>
          <w:iCs/>
        </w:rPr>
        <w:t xml:space="preserve">-kramajonnatiḥ</w:t>
      </w:r>
      <w:r>
        <w:t xml:space="preserve">. The emendation is plausible, but I feel it is not really necessary. Instead,</w:t>
      </w:r>
      <w:r>
        <w:t xml:space="preserve"> </w:t>
      </w:r>
      <w:r>
        <w:rPr>
          <w:i/>
          <w:iCs/>
        </w:rPr>
        <w:t xml:space="preserve">kramaṇa</w:t>
      </w:r>
      <w:r>
        <w:t xml:space="preserve"> </w:t>
      </w:r>
      <w:r>
        <w:t xml:space="preserve">may be understood as equivalent to</w:t>
      </w:r>
      <w:r>
        <w:t xml:space="preserve"> </w:t>
      </w:r>
      <w:r>
        <w:rPr>
          <w:i/>
          <w:iCs/>
        </w:rPr>
        <w:t xml:space="preserve">krama</w:t>
      </w:r>
      <w:r>
        <w:t xml:space="preserve">, "gradual progression." See my translation.</w:t>
      </w:r>
    </w:p>
    <w:p>
      <w:pPr>
        <w:pStyle w:val="BodyText"/>
      </w:pPr>
      <w:r>
        <w:rPr>
          <w:rStyle w:val="ColorGray"/>
        </w:rPr>
        <w:t xml:space="preserve">⟨24⟩</w:t>
      </w:r>
      <w:r>
        <w:t xml:space="preserve"> </w:t>
      </w:r>
      <w:r>
        <w:t xml:space="preserve">gaṁgān aṁgaja- EH JFF2 ⬦</w:t>
      </w:r>
      <w:r>
        <w:t xml:space="preserve"> </w:t>
      </w:r>
      <w:r>
        <w:rPr>
          <w:rStyle w:val="ColorGreen"/>
          <w:i/>
          <w:iCs/>
        </w:rPr>
        <w:t xml:space="preserve">gaṁgānāṁ gaja-</w:t>
      </w:r>
      <w:r>
        <w:t xml:space="preserve"> </w:t>
      </w:r>
      <w:r>
        <w:t xml:space="preserve">NS.</w:t>
      </w:r>
    </w:p>
    <w:p>
      <w:pPr>
        <w:pStyle w:val="BodyText"/>
      </w:pPr>
      <w:r>
        <w:rPr>
          <w:rStyle w:val="ColorGray"/>
        </w:rPr>
        <w:t xml:space="preserve">⟨25⟩</w:t>
      </w:r>
      <w:r>
        <w:t xml:space="preserve"> </w:t>
      </w:r>
      <w:r>
        <w:t xml:space="preserve">a⟨ṁ⟩</w:t>
      </w:r>
      <w:r>
        <w:rPr>
          <w:rStyle w:val="ColorGray"/>
        </w:rPr>
        <w:t xml:space="preserve">⟨Page 3r⟩</w:t>
      </w:r>
      <w:r>
        <w:rPr>
          <w:rStyle w:val="ColorGray"/>
        </w:rPr>
        <w:t xml:space="preserve">⟨26⟩</w:t>
      </w:r>
      <w:r>
        <w:t xml:space="preserve">kitākhila- ⬦</w:t>
      </w:r>
      <w:r>
        <w:t xml:space="preserve"> </w:t>
      </w:r>
      <w:r>
        <w:rPr>
          <w:rStyle w:val="ColorGreen"/>
          <w:i/>
          <w:iCs/>
        </w:rPr>
        <w:t xml:space="preserve">a</w:t>
      </w:r>
      <w:r>
        <w:rPr>
          <w:rStyle w:val="ColorGray"/>
          <w:i/>
          <w:iCs/>
        </w:rPr>
        <w:t xml:space="preserve">⟨Page 3r⟩</w:t>
      </w:r>
      <w:r>
        <w:rPr>
          <w:rStyle w:val="ColorGray"/>
          <w:i/>
          <w:iCs/>
        </w:rPr>
        <w:t xml:space="preserve">⟨26⟩</w:t>
      </w:r>
      <w:r>
        <w:rPr>
          <w:rStyle w:val="ColorGreen"/>
          <w:i/>
          <w:iCs/>
        </w:rPr>
        <w:t xml:space="preserve">ṁkitākhila-</w:t>
      </w:r>
      <w:r>
        <w:t xml:space="preserve"> </w:t>
      </w:r>
      <w:r>
        <w:t xml:space="preserve">EH JFF2;</w:t>
      </w:r>
      <w:r>
        <w:t xml:space="preserve"> </w:t>
      </w:r>
      <w:r>
        <w:rPr>
          <w:rStyle w:val="ColorGreen"/>
          <w:i/>
          <w:iCs/>
        </w:rPr>
        <w:t xml:space="preserve">aṁ</w:t>
      </w:r>
      <w:r>
        <w:rPr>
          <w:rStyle w:val="ColorGray"/>
          <w:i/>
          <w:iCs/>
        </w:rPr>
        <w:t xml:space="preserve">⟨Page 3r⟩</w:t>
      </w:r>
      <w:r>
        <w:rPr>
          <w:rStyle w:val="ColorGray"/>
          <w:i/>
          <w:iCs/>
        </w:rPr>
        <w:t xml:space="preserve">⟨26⟩</w:t>
      </w:r>
      <w:r>
        <w:rPr>
          <w:rStyle w:val="ColorGreen"/>
          <w:i/>
          <w:iCs/>
        </w:rPr>
        <w:t xml:space="preserve">kito-khila-</w:t>
      </w:r>
      <w:r>
        <w:t xml:space="preserve"> </w:t>
      </w:r>
      <w:r>
        <w:t xml:space="preserve">NS • Naṭeśa Śāstrī’s intent was probably</w:t>
      </w:r>
      <w:r>
        <w:t xml:space="preserve"> </w:t>
      </w:r>
      <w:r>
        <w:rPr>
          <w:i/>
          <w:iCs/>
        </w:rPr>
        <w:t xml:space="preserve">aṁkito ’khila-</w:t>
      </w:r>
      <w:r>
        <w:t xml:space="preserve">. Hultzsch explicitly notes that the</w:t>
      </w:r>
      <w:r>
        <w:t xml:space="preserve"> </w:t>
      </w:r>
      <w:r>
        <w:rPr>
          <w:i/>
          <w:iCs/>
        </w:rPr>
        <w:t xml:space="preserve">anusvāra</w:t>
      </w:r>
      <w:r>
        <w:t xml:space="preserve"> </w:t>
      </w:r>
      <w:r>
        <w:t xml:space="preserve">is on the next plate, but it is not visible to me, and the headmark of the following</w:t>
      </w:r>
      <w:r>
        <w:t xml:space="preserve"> </w:t>
      </w:r>
      <w:r>
        <w:rPr>
          <w:i/>
          <w:iCs/>
        </w:rPr>
        <w:t xml:space="preserve">ki</w:t>
      </w:r>
      <w:r>
        <w:t xml:space="preserve"> </w:t>
      </w:r>
      <w:r>
        <w:t xml:space="preserve">is much closer to the edge than that ot</w:t>
      </w:r>
      <w:r>
        <w:t xml:space="preserve"> </w:t>
      </w:r>
      <w:r>
        <w:rPr>
          <w:i/>
          <w:iCs/>
        </w:rPr>
        <w:t xml:space="preserve">śa</w:t>
      </w:r>
      <w:r>
        <w:t xml:space="preserve"> </w:t>
      </w:r>
      <w:r>
        <w:t xml:space="preserve">two lines down, which is indeed preceded by an</w:t>
      </w:r>
      <w:r>
        <w:t xml:space="preserve"> </w:t>
      </w:r>
      <w:r>
        <w:rPr>
          <w:i/>
          <w:iCs/>
        </w:rPr>
        <w:t xml:space="preserve">anusvāra</w:t>
      </w:r>
      <w:r>
        <w:t xml:space="preserve">.</w:t>
      </w:r>
    </w:p>
    <w:p>
      <w:pPr>
        <w:pStyle w:val="BodyText"/>
      </w:pPr>
      <w:r>
        <w:rPr>
          <w:rStyle w:val="ColorGray"/>
        </w:rPr>
        <w:t xml:space="preserve">⟨26⟩</w:t>
      </w:r>
      <w:r>
        <w:t xml:space="preserve"> </w:t>
      </w:r>
      <w:r>
        <w:t xml:space="preserve">bhītārttau ca vidhāya ⬦</w:t>
      </w:r>
      <w:r>
        <w:t xml:space="preserve"> </w:t>
      </w:r>
      <w:r>
        <w:rPr>
          <w:rStyle w:val="ColorGreen"/>
          <w:i/>
          <w:iCs/>
        </w:rPr>
        <w:t xml:space="preserve">bhītārtt</w:t>
      </w:r>
      <w:r>
        <w:rPr>
          <w:rStyle w:val="ColorRed"/>
          <w:i/>
          <w:iCs/>
        </w:rPr>
        <w:t xml:space="preserve">¿ā?</w:t>
      </w:r>
      <w:r>
        <w:rPr>
          <w:rStyle w:val="ColorGreen"/>
          <w:i/>
          <w:iCs/>
        </w:rPr>
        <w:t xml:space="preserve">⟨a⟩</w:t>
      </w:r>
      <w:r>
        <w:rPr>
          <w:rStyle w:val="ColorGreen"/>
          <w:i/>
          <w:iCs/>
        </w:rPr>
        <w:t xml:space="preserve">⟨ṁ⟩ ca vidhāya</w:t>
      </w:r>
      <w:r>
        <w:t xml:space="preserve"> </w:t>
      </w:r>
      <w:r>
        <w:t xml:space="preserve">JFF2;</w:t>
      </w:r>
      <w:r>
        <w:t xml:space="preserve"> </w:t>
      </w:r>
      <w:r>
        <w:rPr>
          <w:rStyle w:val="ColorGreen"/>
          <w:i/>
          <w:iCs/>
        </w:rPr>
        <w:t xml:space="preserve">bhītārttān atha vihāya</w:t>
      </w:r>
      <w:r>
        <w:t xml:space="preserve"> </w:t>
      </w:r>
      <w:r>
        <w:t xml:space="preserve">NS;</w:t>
      </w:r>
      <w:r>
        <w:t xml:space="preserve"> </w:t>
      </w:r>
      <w:r>
        <w:rPr>
          <w:rStyle w:val="ColorRed"/>
          <w:i/>
          <w:iCs/>
        </w:rPr>
        <w:t xml:space="preserve">¿bhītārttau?</w:t>
      </w:r>
      <w:r>
        <w:rPr>
          <w:rStyle w:val="ColorGreen"/>
          <w:i/>
          <w:iCs/>
        </w:rPr>
        <w:t xml:space="preserve">⟨bhītyārtaṁ⟩</w:t>
      </w:r>
      <w:r>
        <w:rPr>
          <w:rStyle w:val="ColorGreen"/>
          <w:i/>
          <w:iCs/>
        </w:rPr>
        <w:t xml:space="preserve"> </w:t>
      </w:r>
      <w:r>
        <w:rPr>
          <w:rStyle w:val="ColorGreen"/>
          <w:i/>
          <w:iCs/>
        </w:rPr>
        <w:t xml:space="preserve">ca vidhāya</w:t>
      </w:r>
      <w:r>
        <w:t xml:space="preserve"> </w:t>
      </w:r>
      <w:r>
        <w:t xml:space="preserve">EH. —</w:t>
      </w:r>
      <w:r>
        <w:t xml:space="preserve"> </w:t>
      </w:r>
      <w:r>
        <w:rPr>
          <w:rStyle w:val="ColorGray"/>
        </w:rPr>
        <w:t xml:space="preserve">⟨26⟩</w:t>
      </w:r>
      <w:r>
        <w:t xml:space="preserve"> </w:t>
      </w:r>
      <w:r>
        <w:t xml:space="preserve">-puram araṁ EH NS ⬦</w:t>
      </w:r>
      <w:r>
        <w:t xml:space="preserve"> </w:t>
      </w:r>
      <w:r>
        <w:rPr>
          <w:rStyle w:val="ColorGreen"/>
          <w:i/>
          <w:iCs/>
        </w:rPr>
        <w:t xml:space="preserve">-pura-</w:t>
      </w:r>
      <w:r>
        <w:rPr>
          <w:rStyle w:val="ColorRed"/>
          <w:i/>
          <w:iCs/>
        </w:rPr>
        <w:t xml:space="preserve">¿m?</w:t>
      </w:r>
      <w:r>
        <w:rPr>
          <w:rStyle w:val="ColorGreen"/>
          <w:i/>
          <w:iCs/>
        </w:rPr>
        <w:t xml:space="preserve">⟨v⟩</w:t>
      </w:r>
      <w:r>
        <w:rPr>
          <w:rStyle w:val="ColorGreen"/>
          <w:i/>
          <w:iCs/>
        </w:rPr>
        <w:t xml:space="preserve">araṁ</w:t>
      </w:r>
      <w:r>
        <w:t xml:space="preserve"> </w:t>
      </w:r>
      <w:r>
        <w:t xml:space="preserve">JFF2.</w:t>
      </w:r>
    </w:p>
    <w:p>
      <w:pPr>
        <w:pStyle w:val="BodyText"/>
      </w:pPr>
      <w:r>
        <w:rPr>
          <w:rStyle w:val="ColorGray"/>
        </w:rPr>
        <w:t xml:space="preserve">⟨28⟩</w:t>
      </w:r>
      <w:r>
        <w:t xml:space="preserve"> </w:t>
      </w:r>
      <w:r>
        <w:t xml:space="preserve">-paṭaleneva EH JFF2 ⬦</w:t>
      </w:r>
      <w:r>
        <w:t xml:space="preserve"> </w:t>
      </w:r>
      <w:r>
        <w:rPr>
          <w:rStyle w:val="ColorGreen"/>
          <w:i/>
          <w:iCs/>
        </w:rPr>
        <w:t xml:space="preserve">-paṭale nava-</w:t>
      </w:r>
      <w:r>
        <w:t xml:space="preserve"> </w:t>
      </w:r>
      <w:r>
        <w:t xml:space="preserve">NS.</w:t>
      </w:r>
    </w:p>
    <w:p>
      <w:pPr>
        <w:pStyle w:val="BodyText"/>
      </w:pPr>
      <w:r>
        <w:rPr>
          <w:rStyle w:val="ColorGray"/>
        </w:rPr>
        <w:t xml:space="preserve">⟨31⟩</w:t>
      </w:r>
      <w:r>
        <w:t xml:space="preserve"> </w:t>
      </w:r>
      <w:r>
        <w:t xml:space="preserve">kiṁ ca EH ⬦</w:t>
      </w:r>
      <w:r>
        <w:t xml:space="preserve"> </w:t>
      </w:r>
      <w:r>
        <w:rPr>
          <w:rStyle w:val="ColorGreen"/>
          <w:i/>
          <w:iCs/>
        </w:rPr>
        <w:t xml:space="preserve">kila</w:t>
      </w:r>
      <w:r>
        <w:t xml:space="preserve"> </w:t>
      </w:r>
      <w:r>
        <w:t xml:space="preserve">NS • Although this looks like the introduction of a stanza, and the use of punctuation and a final consonant in the following passage also implies verse, I am unable to fit that passage to any known metre.</w:t>
      </w:r>
    </w:p>
    <w:p>
      <w:pPr>
        <w:pStyle w:val="BodyText"/>
      </w:pPr>
      <w:r>
        <w:rPr>
          <w:rStyle w:val="ColorGray"/>
        </w:rPr>
        <w:t xml:space="preserve">⟨34⟩</w:t>
      </w:r>
      <w:r>
        <w:t xml:space="preserve"> </w:t>
      </w:r>
      <w:r>
        <w:t xml:space="preserve">śaiśavālabdha-saṁpadā ⬦</w:t>
      </w:r>
      <w:r>
        <w:t xml:space="preserve"> </w:t>
      </w:r>
      <w:r>
        <w:rPr>
          <w:rStyle w:val="ColorGreen"/>
          <w:i/>
          <w:iCs/>
        </w:rPr>
        <w:t xml:space="preserve">śaiśavāl labdha-saṁpado</w:t>
      </w:r>
      <w:r>
        <w:t xml:space="preserve"> </w:t>
      </w:r>
      <w:r>
        <w:t xml:space="preserve">NS;</w:t>
      </w:r>
      <w:r>
        <w:t xml:space="preserve"> </w:t>
      </w:r>
      <w:r>
        <w:rPr>
          <w:rStyle w:val="ColorGreen"/>
          <w:i/>
          <w:iCs/>
        </w:rPr>
        <w:t xml:space="preserve">śaiśavā⟨l⟩ labdha-saṁpadā</w:t>
      </w:r>
      <w:r>
        <w:t xml:space="preserve"> </w:t>
      </w:r>
      <w:r>
        <w:t xml:space="preserve">EH • I agree with the previous editors that</w:t>
      </w:r>
      <w:r>
        <w:t xml:space="preserve"> </w:t>
      </w:r>
      <w:r>
        <w:rPr>
          <w:i/>
          <w:iCs/>
        </w:rPr>
        <w:t xml:space="preserve">śaiśavāl</w:t>
      </w:r>
      <w:r>
        <w:t xml:space="preserve"> </w:t>
      </w:r>
      <w:r>
        <w:t xml:space="preserve">would be preferable here, but I do not consider the emendation essential. —</w:t>
      </w:r>
      <w:r>
        <w:t xml:space="preserve"> </w:t>
      </w:r>
      <w:r>
        <w:rPr>
          <w:rStyle w:val="ColorGray"/>
        </w:rPr>
        <w:t xml:space="preserve">⟨34⟩</w:t>
      </w:r>
      <w:r>
        <w:t xml:space="preserve"> </w:t>
      </w:r>
      <w:r>
        <w:t xml:space="preserve">-bhogādhirājyāṁga EH ⬦</w:t>
      </w:r>
      <w:r>
        <w:t xml:space="preserve"> </w:t>
      </w:r>
      <w:r>
        <w:rPr>
          <w:rStyle w:val="ColorGreen"/>
          <w:i/>
          <w:iCs/>
        </w:rPr>
        <w:t xml:space="preserve">-bhogādi-rājyāṁga</w:t>
      </w:r>
      <w:r>
        <w:t xml:space="preserve"> </w:t>
      </w:r>
      <w:r>
        <w:t xml:space="preserve">NS. —</w:t>
      </w:r>
      <w:r>
        <w:t xml:space="preserve"> </w:t>
      </w:r>
      <w:r>
        <w:rPr>
          <w:rStyle w:val="ColorGray"/>
        </w:rPr>
        <w:t xml:space="preserve">⟨34⟩</w:t>
      </w:r>
      <w:r>
        <w:t xml:space="preserve"> </w:t>
      </w:r>
      <w:r>
        <w:t xml:space="preserve">-ratnai</w:t>
      </w:r>
      <w:r>
        <w:rPr>
          <w:rStyle w:val="ColorGray"/>
        </w:rPr>
        <w:t xml:space="preserve">⟨35⟩</w:t>
      </w:r>
      <w:r>
        <w:t xml:space="preserve">r a</w:t>
      </w:r>
      <w:r>
        <w:rPr>
          <w:rStyle w:val="ColorRed"/>
        </w:rPr>
        <w:t xml:space="preserve">¿v?</w:t>
      </w:r>
      <w:r>
        <w:rPr>
          <w:rStyle w:val="ColorGreen"/>
        </w:rPr>
        <w:t xml:space="preserve">⟨p⟩</w:t>
      </w:r>
      <w:r>
        <w:t xml:space="preserve">i śrutaḥ ⬦</w:t>
      </w:r>
      <w:r>
        <w:t xml:space="preserve"> </w:t>
      </w:r>
      <w:r>
        <w:rPr>
          <w:rStyle w:val="ColorGreen"/>
          <w:i/>
          <w:iCs/>
        </w:rPr>
        <w:t xml:space="preserve">-ratnai</w:t>
      </w:r>
      <w:r>
        <w:rPr>
          <w:rStyle w:val="ColorGray"/>
          <w:i/>
          <w:iCs/>
        </w:rPr>
        <w:t xml:space="preserve">⟨35⟩</w:t>
      </w:r>
      <w:r>
        <w:rPr>
          <w:rStyle w:val="ColorGreen"/>
          <w:i/>
          <w:iCs/>
        </w:rPr>
        <w:t xml:space="preserve">r aviśrutaḥ</w:t>
      </w:r>
      <w:r>
        <w:t xml:space="preserve"> </w:t>
      </w:r>
      <w:r>
        <w:t xml:space="preserve">EH;</w:t>
      </w:r>
      <w:r>
        <w:t xml:space="preserve"> </w:t>
      </w:r>
      <w:r>
        <w:rPr>
          <w:rStyle w:val="ColorGreen"/>
          <w:i/>
          <w:iCs/>
        </w:rPr>
        <w:t xml:space="preserve">-ratno</w:t>
      </w:r>
      <w:r>
        <w:rPr>
          <w:rStyle w:val="ColorGray"/>
          <w:i/>
          <w:iCs/>
        </w:rPr>
        <w:t xml:space="preserve">⟨35⟩</w:t>
      </w:r>
      <w:r>
        <w:rPr>
          <w:rStyle w:val="ColorGreen"/>
          <w:i/>
          <w:iCs/>
        </w:rPr>
        <w:t xml:space="preserve">gha-viśrutaḥ</w:t>
      </w:r>
      <w:r>
        <w:t xml:space="preserve"> </w:t>
      </w:r>
      <w:r>
        <w:t xml:space="preserve">NS • Hultzsch tentatively suggests emending to</w:t>
      </w:r>
      <w:r>
        <w:t xml:space="preserve"> </w:t>
      </w:r>
      <w:r>
        <w:rPr>
          <w:i/>
          <w:iCs/>
        </w:rPr>
        <w:t xml:space="preserve">-ratnena</w:t>
      </w:r>
      <w:r>
        <w:t xml:space="preserve">, but I find that rather awkward. Naṭeśa Śāstrī’s "reading" is nice, but plainly wrong. My emendation presupposes a minor scribal error, but others may also be possible;</w:t>
      </w:r>
      <w:r>
        <w:t xml:space="preserve"> </w:t>
      </w:r>
      <w:r>
        <w:rPr>
          <w:i/>
          <w:iCs/>
        </w:rPr>
        <w:t xml:space="preserve">ratnaiś ca</w:t>
      </w:r>
      <w:r>
        <w:t xml:space="preserve"> </w:t>
      </w:r>
      <w:r>
        <w:t xml:space="preserve">is slightly more appealing, but requires more invasive emendation.</w:t>
      </w:r>
    </w:p>
    <w:p>
      <w:pPr>
        <w:pStyle w:val="BodyText"/>
      </w:pPr>
      <w:r>
        <w:rPr>
          <w:rStyle w:val="ColorGray"/>
        </w:rPr>
        <w:t xml:space="preserve">⟨35⟩</w:t>
      </w:r>
      <w:r>
        <w:t xml:space="preserve"> </w:t>
      </w:r>
      <w:r>
        <w:t xml:space="preserve">pratāpā</w:t>
      </w:r>
      <w:r>
        <w:rPr>
          <w:rStyle w:val="ColorRed"/>
        </w:rPr>
        <w:t xml:space="preserve">¿p t?</w:t>
      </w:r>
      <w:r>
        <w:rPr>
          <w:rStyle w:val="ColorGreen"/>
        </w:rPr>
        <w:t xml:space="preserve">⟨t p⟩</w:t>
      </w:r>
      <w:r>
        <w:t xml:space="preserve">itari EH ⬦</w:t>
      </w:r>
      <w:r>
        <w:t xml:space="preserve"> </w:t>
      </w:r>
      <w:r>
        <w:rPr>
          <w:rStyle w:val="ColorGreen"/>
          <w:i/>
          <w:iCs/>
        </w:rPr>
        <w:t xml:space="preserve">pratāpat-pitari</w:t>
      </w:r>
      <w:r>
        <w:t xml:space="preserve"> </w:t>
      </w:r>
      <w:r>
        <w:t xml:space="preserve">NS. —</w:t>
      </w:r>
      <w:r>
        <w:t xml:space="preserve"> </w:t>
      </w:r>
      <w:r>
        <w:rPr>
          <w:rStyle w:val="ColorGray"/>
        </w:rPr>
        <w:t xml:space="preserve">⟨35⟩</w:t>
      </w:r>
      <w:r>
        <w:t xml:space="preserve"> </w:t>
      </w:r>
      <w:r>
        <w:t xml:space="preserve">vargga</w:t>
      </w:r>
      <w:r>
        <w:rPr>
          <w:rStyle w:val="ColorGray"/>
        </w:rPr>
        <w:t xml:space="preserve"> </w:t>
      </w:r>
      <w:r>
        <w:rPr>
          <w:rStyle w:val="ColorGray"/>
        </w:rPr>
        <w:t xml:space="preserve">⟨36⟩</w:t>
      </w:r>
      <w:r>
        <w:rPr>
          <w:rStyle w:val="ColorGray"/>
        </w:rPr>
        <w:t xml:space="preserve"> </w:t>
      </w:r>
      <w:r>
        <w:t xml:space="preserve">n EH ⬦</w:t>
      </w:r>
      <w:r>
        <w:t xml:space="preserve"> </w:t>
      </w:r>
      <w:r>
        <w:rPr>
          <w:rStyle w:val="ColorGreen"/>
          <w:i/>
          <w:iCs/>
        </w:rPr>
        <w:t xml:space="preserve">varggā</w:t>
      </w:r>
      <w:r>
        <w:rPr>
          <w:rStyle w:val="ColorGray"/>
          <w:i/>
          <w:iCs/>
        </w:rPr>
        <w:t xml:space="preserve"> </w:t>
      </w:r>
      <w:r>
        <w:rPr>
          <w:rStyle w:val="ColorGray"/>
          <w:i/>
          <w:iCs/>
        </w:rPr>
        <w:t xml:space="preserve">⟨36⟩</w:t>
      </w:r>
      <w:r>
        <w:rPr>
          <w:rStyle w:val="ColorGray"/>
          <w:i/>
          <w:iCs/>
        </w:rPr>
        <w:t xml:space="preserve"> </w:t>
      </w:r>
      <w:r>
        <w:rPr>
          <w:rStyle w:val="ColorGreen"/>
          <w:i/>
          <w:iCs/>
        </w:rPr>
        <w:t xml:space="preserve">n</w:t>
      </w:r>
      <w:r>
        <w:t xml:space="preserve"> </w:t>
      </w:r>
      <w:r>
        <w:t xml:space="preserve">NS.</w:t>
      </w:r>
    </w:p>
    <w:p>
      <w:pPr>
        <w:pStyle w:val="BodyText"/>
      </w:pPr>
      <w:r>
        <w:rPr>
          <w:rStyle w:val="ColorGray"/>
        </w:rPr>
        <w:t xml:space="preserve">⟨36⟩</w:t>
      </w:r>
      <w:r>
        <w:t xml:space="preserve"> </w:t>
      </w:r>
      <w:r>
        <w:t xml:space="preserve">-saṁpanna-mantra⟨ḥ⟩ EH ⬦</w:t>
      </w:r>
      <w:r>
        <w:t xml:space="preserve"> </w:t>
      </w:r>
      <w:r>
        <w:rPr>
          <w:rStyle w:val="ColorGreen"/>
          <w:i/>
          <w:iCs/>
        </w:rPr>
        <w:t xml:space="preserve">-saṁpan-narendra-</w:t>
      </w:r>
      <w:r>
        <w:t xml:space="preserve"> </w:t>
      </w:r>
      <w:r>
        <w:t xml:space="preserve">NS. —</w:t>
      </w:r>
      <w:r>
        <w:t xml:space="preserve"> </w:t>
      </w:r>
      <w:r>
        <w:rPr>
          <w:rStyle w:val="ColorGray"/>
        </w:rPr>
        <w:t xml:space="preserve">⟨36⟩</w:t>
      </w:r>
      <w:r>
        <w:t xml:space="preserve"> </w:t>
      </w:r>
      <w:r>
        <w:t xml:space="preserve">-samitim EH ⬦</w:t>
      </w:r>
      <w:r>
        <w:t xml:space="preserve"> </w:t>
      </w:r>
      <w:r>
        <w:rPr>
          <w:rStyle w:val="ColorGreen"/>
          <w:i/>
          <w:iCs/>
        </w:rPr>
        <w:t xml:space="preserve">-samitam</w:t>
      </w:r>
      <w:r>
        <w:t xml:space="preserve"> </w:t>
      </w:r>
      <w:r>
        <w:t xml:space="preserve">NS. —</w:t>
      </w:r>
      <w:r>
        <w:t xml:space="preserve"> </w:t>
      </w:r>
      <w:r>
        <w:rPr>
          <w:rStyle w:val="ColorGray"/>
        </w:rPr>
        <w:t xml:space="preserve">⟨36⟩</w:t>
      </w:r>
      <w:r>
        <w:t xml:space="preserve"> </w:t>
      </w:r>
      <w:r>
        <w:t xml:space="preserve">svārttha- EH ⬦</w:t>
      </w:r>
      <w:r>
        <w:t xml:space="preserve"> </w:t>
      </w:r>
      <w:r>
        <w:rPr>
          <w:rStyle w:val="ColorGreen"/>
          <w:i/>
          <w:iCs/>
        </w:rPr>
        <w:t xml:space="preserve">svārtta-</w:t>
      </w:r>
      <w:r>
        <w:t xml:space="preserve"> </w:t>
      </w:r>
      <w:r>
        <w:t xml:space="preserve">NS.</w:t>
      </w:r>
    </w:p>
    <w:p>
      <w:pPr>
        <w:pStyle w:val="BodyText"/>
      </w:pPr>
      <w:r>
        <w:rPr>
          <w:rStyle w:val="ColorGray"/>
        </w:rPr>
        <w:t xml:space="preserve">⟨37⟩</w:t>
      </w:r>
      <w:r>
        <w:t xml:space="preserve"> </w:t>
      </w:r>
      <w:r>
        <w:t xml:space="preserve">rājyāśīr-llabdha-tejāḥ sama-dalam ⬦</w:t>
      </w:r>
      <w:r>
        <w:t xml:space="preserve"> </w:t>
      </w:r>
      <w:r>
        <w:rPr>
          <w:rStyle w:val="ColorGreen"/>
          <w:i/>
          <w:iCs/>
        </w:rPr>
        <w:t xml:space="preserve">rājyāśīr llabdha-tejāḥ sama-dalam</w:t>
      </w:r>
      <w:r>
        <w:t xml:space="preserve"> </w:t>
      </w:r>
      <w:r>
        <w:t xml:space="preserve">EH;</w:t>
      </w:r>
      <w:r>
        <w:t xml:space="preserve"> </w:t>
      </w:r>
      <w:r>
        <w:rPr>
          <w:rStyle w:val="ColorGreen"/>
          <w:i/>
          <w:iCs/>
        </w:rPr>
        <w:t xml:space="preserve">rājyāśīl-labdha-tejaḥ-samadalam-</w:t>
      </w:r>
      <w:r>
        <w:t xml:space="preserve"> </w:t>
      </w:r>
      <w:r>
        <w:t xml:space="preserve">NS • Hultzsch’s Devanagari edition uses neither hyphenation, nor spacing within an</w:t>
      </w:r>
      <w:r>
        <w:t xml:space="preserve"> </w:t>
      </w:r>
      <w:r>
        <w:rPr>
          <w:i/>
          <w:iCs/>
        </w:rPr>
        <w:t xml:space="preserve">akṣara</w:t>
      </w:r>
      <w:r>
        <w:t xml:space="preserve">, but on the basis of his translation I assume that he analysed this segment into words as shown here. See also the note to my translation.</w:t>
      </w:r>
    </w:p>
    <w:p>
      <w:pPr>
        <w:pStyle w:val="BodyText"/>
      </w:pPr>
      <w:r>
        <w:rPr>
          <w:rStyle w:val="ColorGray"/>
        </w:rPr>
        <w:t xml:space="preserve">⟨38⟩</w:t>
      </w:r>
      <w:r>
        <w:t xml:space="preserve"> </w:t>
      </w:r>
      <w:r>
        <w:t xml:space="preserve">ivāmma⟨rājo⟩ ⬦</w:t>
      </w:r>
      <w:r>
        <w:t xml:space="preserve"> </w:t>
      </w:r>
      <w:r>
        <w:rPr>
          <w:rStyle w:val="ColorGreen"/>
          <w:i/>
          <w:iCs/>
        </w:rPr>
        <w:t xml:space="preserve">ivāmm</w:t>
      </w:r>
      <w:r>
        <w:rPr>
          <w:rStyle w:val="ColorRed"/>
          <w:i/>
          <w:iCs/>
        </w:rPr>
        <w:t xml:space="preserve">¿a?</w:t>
      </w:r>
      <w:r>
        <w:rPr>
          <w:rStyle w:val="ColorGreen"/>
          <w:i/>
          <w:iCs/>
        </w:rPr>
        <w:t xml:space="preserve">⟨o⟩</w:t>
      </w:r>
      <w:r>
        <w:t xml:space="preserve"> </w:t>
      </w:r>
      <w:r>
        <w:t xml:space="preserve">EH;</w:t>
      </w:r>
      <w:r>
        <w:t xml:space="preserve"> </w:t>
      </w:r>
      <w:r>
        <w:rPr>
          <w:rStyle w:val="ColorGreen"/>
          <w:i/>
          <w:iCs/>
        </w:rPr>
        <w:t xml:space="preserve">iva-Amma</w:t>
      </w:r>
      <w:r>
        <w:t xml:space="preserve"> </w:t>
      </w:r>
      <w:r>
        <w:t xml:space="preserve">NS • While my emendation is more extensive than Hultzsch’s, it presupposes only a plausible eyeskip omission by the scribe. For a similar phrase, compare e.g.</w:t>
      </w:r>
      <w:r>
        <w:t xml:space="preserve"> </w:t>
      </w:r>
      <w:r>
        <w:rPr>
          <w:i/>
          <w:iCs/>
        </w:rPr>
        <w:t xml:space="preserve">sa jagatī-patir ammarājo rāja-mahendraḥ</w:t>
      </w:r>
      <w:r>
        <w:t xml:space="preserve"> </w:t>
      </w:r>
      <w:r>
        <w:t xml:space="preserve">in line 30 of the Pedda-</w:t>
      </w:r>
      <w:hyperlink r:id="rId15">
        <w:r>
          <w:rPr>
            <w:rStyle w:val="Hyperlink"/>
          </w:rPr>
          <w:t xml:space="preserve">Gāḻidipaṟṟu grant of Amma II</w:t>
        </w:r>
      </w:hyperlink>
      <w:r>
        <w:t xml:space="preserve">.</w:t>
      </w:r>
    </w:p>
    <w:p>
      <w:pPr>
        <w:pStyle w:val="BodyText"/>
      </w:pPr>
      <w:r>
        <w:rPr>
          <w:rStyle w:val="ColorGray"/>
        </w:rPr>
        <w:t xml:space="preserve">⟨39⟩</w:t>
      </w:r>
      <w:r>
        <w:t xml:space="preserve"> </w:t>
      </w:r>
      <w:r>
        <w:t xml:space="preserve">-kulya- EH ⬦</w:t>
      </w:r>
      <w:r>
        <w:t xml:space="preserve"> </w:t>
      </w:r>
      <w:r>
        <w:rPr>
          <w:rStyle w:val="ColorGreen"/>
          <w:i/>
          <w:iCs/>
        </w:rPr>
        <w:t xml:space="preserve">-kubja-</w:t>
      </w:r>
      <w:r>
        <w:t xml:space="preserve"> </w:t>
      </w:r>
      <w:r>
        <w:t xml:space="preserve">NS.</w:t>
      </w:r>
    </w:p>
    <w:p>
      <w:pPr>
        <w:pStyle w:val="BodyText"/>
      </w:pPr>
      <w:r>
        <w:rPr>
          <w:rStyle w:val="ColorGray"/>
        </w:rPr>
        <w:t xml:space="preserve">⟨40⟩</w:t>
      </w:r>
      <w:r>
        <w:t xml:space="preserve"> </w:t>
      </w:r>
      <w:r>
        <w:t xml:space="preserve">utkr̥</w:t>
      </w:r>
      <w:r>
        <w:rPr>
          <w:rStyle w:val="ColorRed"/>
        </w:rPr>
        <w:t xml:space="preserve">¿t?</w:t>
      </w:r>
      <w:r>
        <w:rPr>
          <w:rStyle w:val="ColorGreen"/>
        </w:rPr>
        <w:t xml:space="preserve">⟨ṣ⟩</w:t>
      </w:r>
      <w:r>
        <w:t xml:space="preserve">ya EH ⬦</w:t>
      </w:r>
      <w:r>
        <w:t xml:space="preserve"> </w:t>
      </w:r>
      <w:r>
        <w:rPr>
          <w:rStyle w:val="ColorGreen"/>
          <w:i/>
          <w:iCs/>
        </w:rPr>
        <w:t xml:space="preserve">utkr̥tya</w:t>
      </w:r>
      <w:r>
        <w:t xml:space="preserve"> </w:t>
      </w:r>
      <w:r>
        <w:t xml:space="preserve">NS • I endorse Hultzsch’s emendation with some hesitation. It certainly improves the diction, but the supposed mistake is not a typical one. The composer may have intended</w:t>
      </w:r>
      <w:r>
        <w:t xml:space="preserve"> </w:t>
      </w:r>
      <w:r>
        <w:rPr>
          <w:i/>
          <w:iCs/>
        </w:rPr>
        <w:t xml:space="preserve">utkr̥tya</w:t>
      </w:r>
      <w:r>
        <w:t xml:space="preserve"> </w:t>
      </w:r>
      <w:r>
        <w:t xml:space="preserve">in the sense of "raising."</w:t>
      </w:r>
    </w:p>
    <w:p>
      <w:pPr>
        <w:pStyle w:val="BodyText"/>
      </w:pPr>
      <w:r>
        <w:rPr>
          <w:rStyle w:val="ColorGray"/>
        </w:rPr>
        <w:t xml:space="preserve">⟨41⟩</w:t>
      </w:r>
      <w:r>
        <w:t xml:space="preserve"> </w:t>
      </w:r>
      <w:r>
        <w:t xml:space="preserve">kṣamayā kṣamām EH ⬦</w:t>
      </w:r>
      <w:r>
        <w:t xml:space="preserve"> </w:t>
      </w:r>
      <w:r>
        <w:rPr>
          <w:rStyle w:val="ColorGreen"/>
          <w:i/>
          <w:iCs/>
        </w:rPr>
        <w:t xml:space="preserve">kṣmayā kṣmām</w:t>
      </w:r>
      <w:r>
        <w:t xml:space="preserve"> </w:t>
      </w:r>
      <w:r>
        <w:t xml:space="preserve">NS.</w:t>
      </w:r>
    </w:p>
    <w:p>
      <w:pPr>
        <w:pStyle w:val="BodyText"/>
      </w:pPr>
      <w:r>
        <w:rPr>
          <w:rStyle w:val="ColorGray"/>
        </w:rPr>
        <w:t xml:space="preserve">⟨43⟩</w:t>
      </w:r>
      <w:r>
        <w:t xml:space="preserve"> </w:t>
      </w:r>
      <w:r>
        <w:t xml:space="preserve">kaṇḍeṟuvāḍi- EH ⬦</w:t>
      </w:r>
      <w:r>
        <w:t xml:space="preserve"> </w:t>
      </w:r>
      <w:r>
        <w:rPr>
          <w:rStyle w:val="ColorGreen"/>
          <w:i/>
          <w:iCs/>
        </w:rPr>
        <w:t xml:space="preserve">kaṇḍeṟuvāṭi-</w:t>
      </w:r>
      <w:r>
        <w:t xml:space="preserve"> </w:t>
      </w:r>
      <w:r>
        <w:t xml:space="preserve">NS.</w:t>
      </w:r>
    </w:p>
    <w:p>
      <w:pPr>
        <w:pStyle w:val="BodyText"/>
      </w:pPr>
      <w:r>
        <w:rPr>
          <w:rStyle w:val="ColorGray"/>
        </w:rPr>
        <w:t xml:space="preserve">⟨45⟩</w:t>
      </w:r>
      <w:r>
        <w:t xml:space="preserve"> </w:t>
      </w:r>
      <w:r>
        <w:t xml:space="preserve">kāḻakaṁpa Iti EH ⬦</w:t>
      </w:r>
      <w:r>
        <w:t xml:space="preserve"> </w:t>
      </w:r>
      <w:r>
        <w:rPr>
          <w:rStyle w:val="ColorGreen"/>
          <w:i/>
          <w:iCs/>
        </w:rPr>
        <w:t xml:space="preserve">ko(ṭa?)kaṁpaiti</w:t>
      </w:r>
      <w:r>
        <w:t xml:space="preserve"> </w:t>
      </w:r>
      <w:r>
        <w:t xml:space="preserve">NS.</w:t>
      </w:r>
    </w:p>
    <w:p>
      <w:pPr>
        <w:pStyle w:val="BodyText"/>
      </w:pPr>
      <w:r>
        <w:rPr>
          <w:rStyle w:val="ColorGray"/>
        </w:rPr>
        <w:t xml:space="preserve">⟨46⟩</w:t>
      </w:r>
      <w:r>
        <w:t xml:space="preserve"> </w:t>
      </w:r>
      <w:r>
        <w:t xml:space="preserve">daddara- EH ⬦</w:t>
      </w:r>
      <w:r>
        <w:t xml:space="preserve"> </w:t>
      </w:r>
      <w:r>
        <w:rPr>
          <w:rStyle w:val="ColorGreen"/>
          <w:i/>
          <w:iCs/>
        </w:rPr>
        <w:t xml:space="preserve">daṭṭara-</w:t>
      </w:r>
      <w:r>
        <w:t xml:space="preserve"> </w:t>
      </w:r>
      <w:r>
        <w:t xml:space="preserve">NS.</w:t>
      </w:r>
    </w:p>
    <w:p>
      <w:pPr>
        <w:pStyle w:val="BodyText"/>
      </w:pPr>
      <w:r>
        <w:rPr>
          <w:rStyle w:val="ColorGray"/>
        </w:rPr>
        <w:t xml:space="preserve">⟨48⟩</w:t>
      </w:r>
      <w:r>
        <w:t xml:space="preserve"> </w:t>
      </w:r>
      <w:r>
        <w:t xml:space="preserve">pritiviyarājaḥ EH ⬦</w:t>
      </w:r>
      <w:r>
        <w:t xml:space="preserve"> </w:t>
      </w:r>
      <w:r>
        <w:rPr>
          <w:rStyle w:val="ColorGreen"/>
          <w:i/>
          <w:iCs/>
        </w:rPr>
        <w:t xml:space="preserve">pr̥tivīya rājaḥ</w:t>
      </w:r>
      <w:r>
        <w:t xml:space="preserve"> </w:t>
      </w:r>
      <w:r>
        <w:t xml:space="preserve">NS. —</w:t>
      </w:r>
      <w:r>
        <w:t xml:space="preserve"> </w:t>
      </w:r>
      <w:r>
        <w:rPr>
          <w:rStyle w:val="ColorGray"/>
        </w:rPr>
        <w:t xml:space="preserve">⟨48⟩</w:t>
      </w:r>
      <w:r>
        <w:t xml:space="preserve"> </w:t>
      </w:r>
      <w:r>
        <w:t xml:space="preserve">-karā</w:t>
      </w:r>
      <w:r>
        <w:rPr>
          <w:rStyle w:val="ColorGray"/>
        </w:rPr>
        <w:t xml:space="preserve">⟨49⟩</w:t>
      </w:r>
      <w:r>
        <w:t xml:space="preserve">yudhaḥ EH ⬦</w:t>
      </w:r>
      <w:r>
        <w:t xml:space="preserve"> </w:t>
      </w:r>
      <w:r>
        <w:rPr>
          <w:rStyle w:val="ColorGreen"/>
          <w:i/>
          <w:iCs/>
        </w:rPr>
        <w:t xml:space="preserve">-karā|</w:t>
      </w:r>
      <w:r>
        <w:rPr>
          <w:rStyle w:val="ColorGray"/>
          <w:i/>
          <w:iCs/>
        </w:rPr>
        <w:t xml:space="preserve">⟨49⟩</w:t>
      </w:r>
      <w:r>
        <w:rPr>
          <w:rStyle w:val="ColorGreen"/>
          <w:i/>
          <w:iCs/>
        </w:rPr>
        <w:t xml:space="preserve">yudhaḥ</w:t>
      </w:r>
      <w:r>
        <w:t xml:space="preserve"> </w:t>
      </w:r>
      <w:r>
        <w:t xml:space="preserve">NS.</w:t>
      </w:r>
    </w:p>
    <w:p>
      <w:pPr>
        <w:pStyle w:val="BodyText"/>
      </w:pPr>
      <w:r>
        <w:rPr>
          <w:rStyle w:val="ColorGray"/>
        </w:rPr>
        <w:t xml:space="preserve">⟨49⟩</w:t>
      </w:r>
      <w:r>
        <w:t xml:space="preserve"> </w:t>
      </w:r>
      <w:r>
        <w:t xml:space="preserve">-kaliyartty-aṁka- EH ⬦</w:t>
      </w:r>
      <w:r>
        <w:t xml:space="preserve"> </w:t>
      </w:r>
      <w:r>
        <w:rPr>
          <w:rStyle w:val="ColorGreen"/>
          <w:i/>
          <w:iCs/>
        </w:rPr>
        <w:t xml:space="preserve">-kalīyatyāṁka-</w:t>
      </w:r>
      <w:r>
        <w:t xml:space="preserve"> </w:t>
      </w:r>
      <w:r>
        <w:t xml:space="preserve">NS.</w:t>
      </w:r>
    </w:p>
    <w:p>
      <w:pPr>
        <w:pStyle w:val="BodyText"/>
      </w:pPr>
      <w:r>
        <w:rPr>
          <w:rStyle w:val="ColorGray"/>
        </w:rPr>
        <w:t xml:space="preserve">⟨50⟩</w:t>
      </w:r>
      <w:r>
        <w:t xml:space="preserve"> </w:t>
      </w:r>
      <w:r>
        <w:t xml:space="preserve">pratimukhāṁ{r}</w:t>
      </w:r>
      <w:r>
        <w:rPr>
          <w:rStyle w:val="ColorMagenta"/>
        </w:rPr>
        <w:t xml:space="preserve">¡jj!</w:t>
      </w:r>
      <w:r>
        <w:rPr>
          <w:rStyle w:val="ColorBlue"/>
        </w:rPr>
        <w:t xml:space="preserve">⟨j⟩</w:t>
      </w:r>
      <w:r>
        <w:t xml:space="preserve">anam ⬦</w:t>
      </w:r>
      <w:r>
        <w:t xml:space="preserve"> </w:t>
      </w:r>
      <w:r>
        <w:rPr>
          <w:rStyle w:val="ColorGreen"/>
          <w:i/>
          <w:iCs/>
        </w:rPr>
        <w:t xml:space="preserve">pratimukhā</w:t>
      </w:r>
      <w:r>
        <w:rPr>
          <w:rStyle w:val="ColorRed"/>
          <w:i/>
          <w:iCs/>
        </w:rPr>
        <w:t xml:space="preserve">¿ṁrjj?</w:t>
      </w:r>
      <w:r>
        <w:rPr>
          <w:rStyle w:val="ColorGreen"/>
          <w:i/>
          <w:iCs/>
        </w:rPr>
        <w:t xml:space="preserve">⟨ñj⟩</w:t>
      </w:r>
      <w:r>
        <w:rPr>
          <w:rStyle w:val="ColorGreen"/>
          <w:i/>
          <w:iCs/>
        </w:rPr>
        <w:t xml:space="preserve">anam</w:t>
      </w:r>
      <w:r>
        <w:t xml:space="preserve"> </w:t>
      </w:r>
      <w:r>
        <w:t xml:space="preserve">EH;</w:t>
      </w:r>
      <w:r>
        <w:t xml:space="preserve"> </w:t>
      </w:r>
      <w:r>
        <w:rPr>
          <w:rStyle w:val="ColorGreen"/>
          <w:i/>
          <w:iCs/>
        </w:rPr>
        <w:t xml:space="preserve">prītim upārjanam</w:t>
      </w:r>
      <w:r>
        <w:t xml:space="preserve"> </w:t>
      </w:r>
      <w:r>
        <w:t xml:space="preserve">NS • I endorse Hultzsch’s emendation and differ from him only in showing that the editorial intervention is small, as the doubling of a consonant after</w:t>
      </w:r>
      <w:r>
        <w:t xml:space="preserve"> </w:t>
      </w:r>
      <w:r>
        <w:rPr>
          <w:i/>
          <w:iCs/>
        </w:rPr>
        <w:t xml:space="preserve">anusvāra</w:t>
      </w:r>
      <w:r>
        <w:t xml:space="preserve"> </w:t>
      </w:r>
      <w:r>
        <w:t xml:space="preserve">is not unusual in this text. This seems to be the best way to interpret the text in spite of its difficulties, for which see the note to the translation. —</w:t>
      </w:r>
      <w:r>
        <w:t xml:space="preserve"> </w:t>
      </w:r>
      <w:r>
        <w:rPr>
          <w:rStyle w:val="ColorGray"/>
        </w:rPr>
        <w:t xml:space="preserve">⟨50⟩</w:t>
      </w:r>
      <w:r>
        <w:t xml:space="preserve"> </w:t>
      </w:r>
      <w:r>
        <w:t xml:space="preserve">ujj⟨v⟩ala-gaṇḍā⟨ṁ⟩kaṁ ⬦</w:t>
      </w:r>
      <w:r>
        <w:t xml:space="preserve"> </w:t>
      </w:r>
      <w:r>
        <w:rPr>
          <w:rStyle w:val="ColorGreen"/>
          <w:i/>
          <w:iCs/>
        </w:rPr>
        <w:t xml:space="preserve">ujj⟨v⟩ala-gaṇḍā⟨ṅ⟩kaṁ</w:t>
      </w:r>
      <w:r>
        <w:t xml:space="preserve"> </w:t>
      </w:r>
      <w:r>
        <w:t xml:space="preserve">EH;</w:t>
      </w:r>
      <w:r>
        <w:t xml:space="preserve"> </w:t>
      </w:r>
      <w:r>
        <w:rPr>
          <w:rStyle w:val="ColorGreen"/>
          <w:i/>
          <w:iCs/>
        </w:rPr>
        <w:t xml:space="preserve">ujvala-gaṇṭākaṁ</w:t>
      </w:r>
      <w:r>
        <w:t xml:space="preserve"> </w:t>
      </w:r>
      <w:r>
        <w:t xml:space="preserve">NS.</w:t>
      </w:r>
    </w:p>
    <w:p>
      <w:pPr>
        <w:pStyle w:val="BodyText"/>
      </w:pPr>
      <w:r>
        <w:rPr>
          <w:rStyle w:val="ColorGray"/>
        </w:rPr>
        <w:t xml:space="preserve">⟨53⟩</w:t>
      </w:r>
      <w:r>
        <w:t xml:space="preserve"> </w:t>
      </w:r>
      <w:r>
        <w:t xml:space="preserve">-vijay</w:t>
      </w:r>
      <w:r>
        <w:rPr>
          <w:rStyle w:val="ColorRed"/>
        </w:rPr>
        <w:t xml:space="preserve">¿i?</w:t>
      </w:r>
      <w:r>
        <w:rPr>
          <w:rStyle w:val="ColorGreen"/>
        </w:rPr>
        <w:t xml:space="preserve">⟨ī⟩</w:t>
      </w:r>
      <w:r>
        <w:t xml:space="preserve"> </w:t>
      </w:r>
      <w:r>
        <w:t xml:space="preserve">⬦</w:t>
      </w:r>
      <w:r>
        <w:t xml:space="preserve"> </w:t>
      </w:r>
      <w:r>
        <w:rPr>
          <w:rStyle w:val="ColorGreen"/>
          <w:i/>
          <w:iCs/>
        </w:rPr>
        <w:t xml:space="preserve">-vijayī</w:t>
      </w:r>
      <w:r>
        <w:t xml:space="preserve"> </w:t>
      </w:r>
      <w:r>
        <w:t xml:space="preserve">NS;</w:t>
      </w:r>
      <w:r>
        <w:t xml:space="preserve"> </w:t>
      </w:r>
      <w:r>
        <w:rPr>
          <w:rStyle w:val="ColorGreen"/>
          <w:i/>
          <w:iCs/>
        </w:rPr>
        <w:t xml:space="preserve">-vijay</w:t>
      </w:r>
      <w:r>
        <w:rPr>
          <w:rStyle w:val="ColorRed"/>
          <w:i/>
          <w:iCs/>
        </w:rPr>
        <w:t xml:space="preserve">¿i?</w:t>
      </w:r>
      <w:r>
        <w:rPr>
          <w:rStyle w:val="ColorGreen"/>
          <w:i/>
          <w:iCs/>
        </w:rPr>
        <w:t xml:space="preserve">⟨a⟩</w:t>
      </w:r>
      <w:r>
        <w:rPr>
          <w:rStyle w:val="ColorGreen"/>
          <w:i/>
          <w:iCs/>
        </w:rPr>
        <w:t xml:space="preserve">-</w:t>
      </w:r>
      <w:r>
        <w:t xml:space="preserve"> </w:t>
      </w:r>
      <w:r>
        <w:t xml:space="preserve">EH. —</w:t>
      </w:r>
      <w:r>
        <w:t xml:space="preserve"> </w:t>
      </w:r>
      <w:r>
        <w:rPr>
          <w:rStyle w:val="ColorGray"/>
        </w:rPr>
        <w:t xml:space="preserve">⟨53⟩</w:t>
      </w:r>
      <w:r>
        <w:t xml:space="preserve"> </w:t>
      </w:r>
      <w:r>
        <w:t xml:space="preserve">-grāmaṭiko EH ⬦</w:t>
      </w:r>
      <w:r>
        <w:t xml:space="preserve"> </w:t>
      </w:r>
      <w:r>
        <w:rPr>
          <w:rStyle w:val="ColorGreen"/>
          <w:i/>
          <w:iCs/>
        </w:rPr>
        <w:t xml:space="preserve">-grāmādhike|</w:t>
      </w:r>
      <w:r>
        <w:t xml:space="preserve"> </w:t>
      </w:r>
      <w:r>
        <w:t xml:space="preserve">NS.</w:t>
      </w:r>
    </w:p>
    <w:p>
      <w:pPr>
        <w:pStyle w:val="BodyText"/>
      </w:pPr>
      <w:r>
        <w:rPr>
          <w:rStyle w:val="ColorGray"/>
        </w:rPr>
        <w:t xml:space="preserve">⟨54⟩</w:t>
      </w:r>
      <w:r>
        <w:t xml:space="preserve"> </w:t>
      </w:r>
      <w:r>
        <w:t xml:space="preserve">sarvva-kara- EH ⬦</w:t>
      </w:r>
      <w:r>
        <w:t xml:space="preserve"> </w:t>
      </w:r>
      <w:r>
        <w:rPr>
          <w:rStyle w:val="ColorGreen"/>
          <w:i/>
          <w:iCs/>
        </w:rPr>
        <w:t xml:space="preserve">sarvākāra-</w:t>
      </w:r>
      <w:r>
        <w:t xml:space="preserve"> </w:t>
      </w:r>
      <w:r>
        <w:t xml:space="preserve">NS. —</w:t>
      </w:r>
      <w:r>
        <w:t xml:space="preserve"> </w:t>
      </w:r>
      <w:r>
        <w:rPr>
          <w:rStyle w:val="ColorGray"/>
        </w:rPr>
        <w:t xml:space="preserve">⟨54⟩</w:t>
      </w:r>
      <w:r>
        <w:t xml:space="preserve"> </w:t>
      </w:r>
      <w:r>
        <w:t xml:space="preserve">ddatta Iti EH ⬦</w:t>
      </w:r>
      <w:r>
        <w:t xml:space="preserve"> </w:t>
      </w:r>
      <w:r>
        <w:rPr>
          <w:rStyle w:val="ColorGreen"/>
          <w:i/>
          <w:iCs/>
        </w:rPr>
        <w:t xml:space="preserve">dattam iti</w:t>
      </w:r>
      <w:r>
        <w:t xml:space="preserve"> </w:t>
      </w:r>
      <w:r>
        <w:t xml:space="preserve">NS.</w:t>
      </w:r>
    </w:p>
    <w:p>
      <w:pPr>
        <w:pStyle w:val="BodyText"/>
      </w:pPr>
      <w:r>
        <w:rPr>
          <w:rStyle w:val="ColorGray"/>
        </w:rPr>
        <w:t xml:space="preserve">⟨55⟩</w:t>
      </w:r>
      <w:r>
        <w:t xml:space="preserve"> </w:t>
      </w:r>
      <w:r>
        <w:t xml:space="preserve">goṇayūru EH ⬦</w:t>
      </w:r>
      <w:r>
        <w:t xml:space="preserve"> </w:t>
      </w:r>
      <w:r>
        <w:rPr>
          <w:rStyle w:val="ColorGreen"/>
          <w:i/>
          <w:iCs/>
        </w:rPr>
        <w:t xml:space="preserve">gaiṇayūru</w:t>
      </w:r>
      <w:r>
        <w:t xml:space="preserve"> </w:t>
      </w:r>
      <w:r>
        <w:t xml:space="preserve">NS.</w:t>
      </w:r>
    </w:p>
    <w:p>
      <w:pPr>
        <w:pStyle w:val="BodyText"/>
      </w:pPr>
      <w:r>
        <w:rPr>
          <w:rStyle w:val="ColorGray"/>
        </w:rPr>
        <w:t xml:space="preserve">⟨57⟩</w:t>
      </w:r>
      <w:r>
        <w:t xml:space="preserve"> </w:t>
      </w:r>
      <w:r>
        <w:t xml:space="preserve">potuṟāyu NS ⬦</w:t>
      </w:r>
      <w:r>
        <w:t xml:space="preserve"> </w:t>
      </w:r>
      <w:r>
        <w:rPr>
          <w:rStyle w:val="ColorGreen"/>
          <w:i/>
          <w:iCs/>
        </w:rPr>
        <w:t xml:space="preserve">pātuṟāyu</w:t>
      </w:r>
      <w:r>
        <w:t xml:space="preserve"> </w:t>
      </w:r>
      <w:r>
        <w:t xml:space="preserve">EH • Hultzsch’s translation, however, has Potuṟāyu, so there may be a typo in his edition. The vowel marker in question is a single cursive stroke and is not as curly as expected for</w:t>
      </w:r>
      <w:r>
        <w:t xml:space="preserve"> </w:t>
      </w:r>
      <w:r>
        <w:rPr>
          <w:i/>
          <w:iCs/>
        </w:rPr>
        <w:t xml:space="preserve">o</w:t>
      </w:r>
      <w:r>
        <w:t xml:space="preserve">, but it starts out to the left from the headmark, so it must be</w:t>
      </w:r>
      <w:r>
        <w:t xml:space="preserve"> </w:t>
      </w:r>
      <w:r>
        <w:rPr>
          <w:i/>
          <w:iCs/>
        </w:rPr>
        <w:t xml:space="preserve">o</w:t>
      </w:r>
      <w:r>
        <w:t xml:space="preserve">. —</w:t>
      </w:r>
      <w:r>
        <w:t xml:space="preserve"> </w:t>
      </w:r>
      <w:r>
        <w:rPr>
          <w:rStyle w:val="ColorGray"/>
        </w:rPr>
        <w:t xml:space="preserve">⟨57⟩</w:t>
      </w:r>
      <w:r>
        <w:t xml:space="preserve"> </w:t>
      </w:r>
      <w:r>
        <w:t xml:space="preserve">peddakoyilamu EH ⬦</w:t>
      </w:r>
      <w:r>
        <w:t xml:space="preserve"> </w:t>
      </w:r>
      <w:r>
        <w:rPr>
          <w:rStyle w:val="ColorGreen"/>
          <w:i/>
          <w:iCs/>
        </w:rPr>
        <w:t xml:space="preserve">peṭṭakoyilamu</w:t>
      </w:r>
      <w:r>
        <w:t xml:space="preserve"> </w:t>
      </w:r>
      <w:r>
        <w:t xml:space="preserve">NS. —</w:t>
      </w:r>
      <w:r>
        <w:t xml:space="preserve"> </w:t>
      </w:r>
      <w:r>
        <w:rPr>
          <w:rStyle w:val="ColorGray"/>
        </w:rPr>
        <w:t xml:space="preserve">⟨57⟩</w:t>
      </w:r>
      <w:r>
        <w:t xml:space="preserve"> </w:t>
      </w:r>
      <w:r>
        <w:t xml:space="preserve">kuṟuvapoṭi EH ⬦</w:t>
      </w:r>
      <w:r>
        <w:t xml:space="preserve"> </w:t>
      </w:r>
      <w:r>
        <w:rPr>
          <w:rStyle w:val="ColorGreen"/>
          <w:i/>
          <w:iCs/>
        </w:rPr>
        <w:t xml:space="preserve">kuṟuvacoṭi</w:t>
      </w:r>
      <w:r>
        <w:t xml:space="preserve"> </w:t>
      </w:r>
      <w:r>
        <w:t xml:space="preserve">NS.</w:t>
      </w:r>
    </w:p>
    <w:p>
      <w:pPr>
        <w:pStyle w:val="BodyText"/>
      </w:pPr>
      <w:r>
        <w:rPr>
          <w:rStyle w:val="ColorGray"/>
        </w:rPr>
        <w:t xml:space="preserve">⟨58⟩</w:t>
      </w:r>
      <w:r>
        <w:t xml:space="preserve"> </w:t>
      </w:r>
      <w:r>
        <w:t xml:space="preserve">polaku</w:t>
      </w:r>
      <w:r>
        <w:rPr>
          <w:rStyle w:val="ColorGray"/>
        </w:rPr>
        <w:t xml:space="preserve">⟨59⟩</w:t>
      </w:r>
      <w:r>
        <w:t xml:space="preserve">ṁgoṇḍa- EH ⬦</w:t>
      </w:r>
      <w:r>
        <w:t xml:space="preserve"> </w:t>
      </w:r>
      <w:r>
        <w:rPr>
          <w:rStyle w:val="ColorGreen"/>
          <w:i/>
          <w:iCs/>
        </w:rPr>
        <w:t xml:space="preserve">pailaku</w:t>
      </w:r>
      <w:r>
        <w:rPr>
          <w:rStyle w:val="ColorGray"/>
          <w:i/>
          <w:iCs/>
        </w:rPr>
        <w:t xml:space="preserve">⟨59⟩</w:t>
      </w:r>
      <w:r>
        <w:rPr>
          <w:rStyle w:val="ColorGreen"/>
          <w:i/>
          <w:iCs/>
        </w:rPr>
        <w:t xml:space="preserve">ṁgoṇṭa-</w:t>
      </w:r>
      <w:r>
        <w:t xml:space="preserve"> </w:t>
      </w:r>
      <w:r>
        <w:t xml:space="preserve">NS.</w:t>
      </w:r>
    </w:p>
    <w:p>
      <w:pPr>
        <w:pStyle w:val="BodyText"/>
      </w:pPr>
      <w:r>
        <w:rPr>
          <w:rStyle w:val="ColorGray"/>
        </w:rPr>
        <w:t xml:space="preserve">⟨59⟩</w:t>
      </w:r>
      <w:r>
        <w:t xml:space="preserve"> </w:t>
      </w:r>
      <w:r>
        <w:t xml:space="preserve">monadurgga EH ⬦</w:t>
      </w:r>
      <w:r>
        <w:t xml:space="preserve"> </w:t>
      </w:r>
      <w:r>
        <w:rPr>
          <w:rStyle w:val="ColorGreen"/>
          <w:i/>
          <w:iCs/>
        </w:rPr>
        <w:t xml:space="preserve">mainadurgga</w:t>
      </w:r>
      <w:r>
        <w:t xml:space="preserve"> </w:t>
      </w:r>
      <w:r>
        <w:t xml:space="preserve">NS. —</w:t>
      </w:r>
      <w:r>
        <w:t xml:space="preserve"> </w:t>
      </w:r>
      <w:r>
        <w:rPr>
          <w:rStyle w:val="ColorGray"/>
        </w:rPr>
        <w:t xml:space="preserve">⟨59⟩</w:t>
      </w:r>
      <w:r>
        <w:t xml:space="preserve"> </w:t>
      </w:r>
      <w:r>
        <w:t xml:space="preserve">bhadhavati EH ⬦</w:t>
      </w:r>
      <w:r>
        <w:t xml:space="preserve"> </w:t>
      </w:r>
      <w:r>
        <w:rPr>
          <w:rStyle w:val="ColorGreen"/>
          <w:i/>
          <w:iCs/>
        </w:rPr>
        <w:t xml:space="preserve">bhagavatī</w:t>
      </w:r>
      <w:r>
        <w:t xml:space="preserve"> </w:t>
      </w:r>
      <w:r>
        <w:t xml:space="preserve">NS • Hultzsch tentatively proposes emending to</w:t>
      </w:r>
      <w:r>
        <w:t xml:space="preserve"> </w:t>
      </w:r>
      <w:r>
        <w:rPr>
          <w:i/>
          <w:iCs/>
        </w:rPr>
        <w:t xml:space="preserve">bhagavatī</w:t>
      </w:r>
      <w:r>
        <w:t xml:space="preserve"> </w:t>
      </w:r>
      <w:r>
        <w:t xml:space="preserve">and that word may have been intended, but the received reading is not in doubt. —</w:t>
      </w:r>
      <w:r>
        <w:t xml:space="preserve"> </w:t>
      </w:r>
      <w:r>
        <w:rPr>
          <w:rStyle w:val="ColorGray"/>
        </w:rPr>
        <w:t xml:space="preserve">⟨59⟩</w:t>
      </w:r>
      <w:r>
        <w:t xml:space="preserve"> </w:t>
      </w:r>
      <w:r>
        <w:t xml:space="preserve">maḍapallipaṟṟu EH ⬦</w:t>
      </w:r>
      <w:r>
        <w:t xml:space="preserve"> </w:t>
      </w:r>
      <w:r>
        <w:rPr>
          <w:rStyle w:val="ColorGreen"/>
          <w:i/>
          <w:iCs/>
        </w:rPr>
        <w:t xml:space="preserve">madapallupaṟṟu</w:t>
      </w:r>
      <w:r>
        <w:t xml:space="preserve"> </w:t>
      </w:r>
      <w:r>
        <w:t xml:space="preserve">NS. —</w:t>
      </w:r>
      <w:r>
        <w:t xml:space="preserve"> </w:t>
      </w:r>
      <w:r>
        <w:rPr>
          <w:rStyle w:val="ColorGray"/>
        </w:rPr>
        <w:t xml:space="preserve">⟨59⟩</w:t>
      </w:r>
      <w:r>
        <w:t xml:space="preserve"> </w:t>
      </w:r>
      <w:r>
        <w:t xml:space="preserve">cāmiṟenigu</w:t>
      </w:r>
      <w:r>
        <w:rPr>
          <w:rStyle w:val="ColorGray"/>
        </w:rPr>
        <w:t xml:space="preserve">⟨60⟩</w:t>
      </w:r>
      <w:r>
        <w:t xml:space="preserve">ṁṭṭa • Emend to</w:t>
      </w:r>
      <w:r>
        <w:t xml:space="preserve"> </w:t>
      </w:r>
      <w:r>
        <w:rPr>
          <w:i/>
          <w:iCs/>
        </w:rPr>
        <w:t xml:space="preserve">cāpi ṟeniguṁṭṭa</w:t>
      </w:r>
      <w:r>
        <w:t xml:space="preserve">?</w:t>
      </w:r>
    </w:p>
    <w:p>
      <w:pPr>
        <w:pStyle w:val="BodyText"/>
      </w:pPr>
      <w:r>
        <w:rPr>
          <w:rStyle w:val="ColorGray"/>
        </w:rPr>
        <w:t xml:space="preserve">⟨62⟩</w:t>
      </w:r>
      <w:r>
        <w:t xml:space="preserve"> </w:t>
      </w:r>
      <w:r>
        <w:t xml:space="preserve">ha</w:t>
      </w:r>
      <w:r>
        <w:rPr>
          <w:rStyle w:val="ColorGray"/>
        </w:rPr>
        <w:t xml:space="preserve">⟨63⟩</w:t>
      </w:r>
      <w:r>
        <w:t xml:space="preserve">re</w:t>
      </w:r>
      <w:r>
        <w:rPr>
          <w:rStyle w:val="ColorMagenta"/>
        </w:rPr>
        <w:t xml:space="preserve">¡t tu!</w:t>
      </w:r>
      <w:r>
        <w:t xml:space="preserve"> </w:t>
      </w:r>
      <w:r>
        <w:t xml:space="preserve">vasundharā</w:t>
      </w:r>
      <w:r>
        <w:rPr>
          <w:rStyle w:val="ColorMagenta"/>
        </w:rPr>
        <w:t xml:space="preserve">¡N!</w:t>
      </w:r>
      <w:r>
        <w:t xml:space="preserve"> </w:t>
      </w:r>
      <w:r>
        <w:t xml:space="preserve">EH ⬦</w:t>
      </w:r>
      <w:r>
        <w:t xml:space="preserve"> </w:t>
      </w:r>
      <w:r>
        <w:rPr>
          <w:rStyle w:val="ColorGreen"/>
          <w:i/>
          <w:iCs/>
        </w:rPr>
        <w:t xml:space="preserve">ha</w:t>
      </w:r>
      <w:r>
        <w:rPr>
          <w:rStyle w:val="ColorGray"/>
          <w:i/>
          <w:iCs/>
        </w:rPr>
        <w:t xml:space="preserve">⟨63⟩</w:t>
      </w:r>
      <w:r>
        <w:rPr>
          <w:rStyle w:val="ColorGreen"/>
          <w:i/>
          <w:iCs/>
        </w:rPr>
        <w:t xml:space="preserve">reta vasuṁdharāM</w:t>
      </w:r>
      <w:r>
        <w:t xml:space="preserve"> </w:t>
      </w:r>
      <w:r>
        <w:t xml:space="preserve">NS.</w:t>
      </w:r>
    </w:p>
    <w:p>
      <w:pPr>
        <w:pStyle w:val="Heading1"/>
      </w:pPr>
      <w:r>
        <w:t xml:space="preserve">Translation</w:t>
      </w:r>
    </w:p>
    <w:p>
      <w:pPr>
        <w:pStyle w:val="Heading2"/>
      </w:pPr>
      <w:r>
        <w:t xml:space="preserve">Plates</w:t>
      </w:r>
    </w:p>
    <w:p>
      <w:pPr>
        <w:pStyle w:val="FirstParagraph"/>
      </w:pPr>
      <w:r>
        <w:t xml:space="preserve">1.</w:t>
      </w:r>
    </w:p>
    <w:p>
      <w:pPr>
        <w:pStyle w:val="BodyText"/>
      </w:pPr>
      <w:r>
        <w:t xml:space="preserve">Let all manner of thing always be well for all the world, and let it always be well for cows, Brahmins and kings.</w:t>
      </w:r>
    </w:p>
    <w:p>
      <w:pPr>
        <w:pStyle w:val="BodyText"/>
      </w:pPr>
      <w:r>
        <w:rPr>
          <w:rStyle w:val="ColorGray"/>
        </w:rPr>
        <w:t xml:space="preserve">⟨2–12⟩</w:t>
      </w:r>
      <w:r>
        <w:t xml:space="preserve"> </w:t>
      </w:r>
      <w:r>
        <w:t xml:space="preserve">Satyāśraya Vallabha (Pulakeśin II) was eager to adorn the lineage of the majestic Calukyas—who are of the Mānavya</w:t>
      </w:r>
      <w:r>
        <w:t xml:space="preserve"> </w:t>
      </w:r>
      <w:r>
        <w:rPr>
          <w:i/>
          <w:iCs/>
        </w:rPr>
        <w:t xml:space="preserve">gotra</w:t>
      </w:r>
      <w:r>
        <w:t xml:space="preserve"> </w:t>
      </w:r>
      <w:r>
        <w:t xml:space="preserve">which is praised by the entire world, who are sons of Hārītī, who attained kingship by the grace of Kauśikī’s boon, who are protected by the band of Mothers, who were deliberately appointed (to kingship) by Lord Mahāsena, to whom enemy territories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brother Kubja Viṣṇuvardhana ⟨reigned⟩ for eighteen years. His son Jayasiṁha Vallabha (I), for thirty-three years. n’s (Indra Bhaṭṭāraka’s) son Viṣṇuvardhana (II), for nine years. His son Maṅgi Yuvarāja, for twenty-five years. His son Jayasiṁha (II), for thirteen years. His younger brother by a different mother, Kokkili, for six months. After dethroning his younger brother, his elder brother Viṣṇurāja (Viṣṇuvardhana III), for thirty-seven years. His son Vijayāditya (I) Bhaṭṭāraka, for eighteen years. His son Viṣṇuvardhana (IV), for thirty-six years. His son</w:t>
      </w:r>
    </w:p>
    <w:p>
      <w:pPr>
        <w:pStyle w:val="BodyText"/>
      </w:pPr>
      <w:r>
        <w:t xml:space="preserve">2–3.</w:t>
      </w:r>
    </w:p>
    <w:p>
      <w:pPr>
        <w:pStyle w:val="BodyText"/>
      </w:pPr>
      <w:r>
        <w:t xml:space="preserve">the heroic King (</w:t>
      </w:r>
      <w:r>
        <w:rPr>
          <w:i/>
          <w:iCs/>
        </w:rPr>
        <w:t xml:space="preserve">bhūpati</w:t>
      </w:r>
      <w:r>
        <w:t xml:space="preserve">) Vijayāditya (II), who earned his power by ⟨the strength of⟩ his arms, fought—over the course of twelve years day and night, with his sword for a companion—a hundred and eight battles against the forces of the Gaṅgas and the Raṭṭas using stratagems and daring acts,</w:t>
      </w:r>
      <w:r>
        <w:rPr>
          <w:rStyle w:val="FootnoteReference"/>
        </w:rPr>
        <w:footnoteReference w:id="16"/>
      </w:r>
      <w:r>
        <w:t xml:space="preserve"> </w:t>
      </w:r>
      <w:r>
        <w:t xml:space="preserve">and built as many (i.e. 108) great temples of Śambhu.</w:t>
      </w:r>
    </w:p>
    <w:p>
      <w:pPr>
        <w:pStyle w:val="BodyText"/>
      </w:pPr>
      <w:r>
        <w:t xml:space="preserve">4.</w:t>
      </w:r>
    </w:p>
    <w:p>
      <w:pPr>
        <w:pStyle w:val="BodyText"/>
      </w:pPr>
      <w:r>
        <w:t xml:space="preserve">After ruling as king for forty years counted along with four more, that Lord of Veṅgī departed to become a companion of (Indra) the Husband of Śacī.</w:t>
      </w:r>
    </w:p>
    <w:p>
      <w:pPr>
        <w:pStyle w:val="BodyText"/>
      </w:pPr>
      <w:r>
        <w:t xml:space="preserve">5–7.</w:t>
      </w:r>
    </w:p>
    <w:p>
      <w:pPr>
        <w:pStyle w:val="BodyText"/>
      </w:pPr>
      <w:r>
        <w:t xml:space="preserve">His heroic son versed in polity (</w:t>
      </w:r>
      <w:r>
        <w:rPr>
          <w:i/>
          <w:iCs/>
        </w:rPr>
        <w:t xml:space="preserve">naya</w:t>
      </w:r>
      <w:r>
        <w:t xml:space="preserve">), the Lord of Veṅgī, Viṣṇuvardhana (V) with the forename Kali, who was accomplished in warfare (</w:t>
      </w:r>
      <w:r>
        <w:rPr>
          <w:i/>
          <w:iCs/>
        </w:rPr>
        <w:t xml:space="preserve">kali</w:t>
      </w:r>
      <w:r>
        <w:t xml:space="preserve">) with all weapons,</w:t>
      </w:r>
      <w:r>
        <w:rPr>
          <w:rStyle w:val="FootnoteReference"/>
        </w:rPr>
        <w:footnoteReference w:id="17"/>
      </w:r>
      <w:r>
        <w:t xml:space="preserve"> </w:t>
      </w:r>
      <w:r>
        <w:t xml:space="preserve">was anointed to kingship for the sake of his family’s elevation on account of his knowledge of polity (</w:t>
      </w:r>
      <w:r>
        <w:rPr>
          <w:i/>
          <w:iCs/>
        </w:rPr>
        <w:t xml:space="preserve">naya</w:t>
      </w:r>
      <w:r>
        <w:t xml:space="preserve">) and his skill in battle by elephant and horse, and became Lord for a year and a half.</w:t>
      </w:r>
      <w:r>
        <w:rPr>
          <w:rStyle w:val="FootnoteReference"/>
        </w:rPr>
        <w:footnoteReference w:id="18"/>
      </w:r>
      <w:r>
        <w:t xml:space="preserve"> </w:t>
      </w:r>
      <w:r>
        <w:t xml:space="preserve">He was dedicated to protecting and disciplining (his subjects) in a manner that was adept at implementing the maintenance of the status quo (</w:t>
      </w:r>
      <w:r>
        <w:rPr>
          <w:i/>
          <w:iCs/>
        </w:rPr>
        <w:t xml:space="preserve">varṇāśrama</w:t>
      </w:r>
      <w:r>
        <w:t xml:space="preserve">). His arms were (ever) busy with conquering enemy cities. He attained glory on the entire surface of the earth, which he cultivated constantly through his ministers (</w:t>
      </w:r>
      <w:r>
        <w:rPr>
          <w:i/>
          <w:iCs/>
        </w:rPr>
        <w:t xml:space="preserve">mantrin</w:t>
      </w:r>
      <w:r>
        <w:t xml:space="preserve">) (who followed) the doctrine of cherishing the three goals (</w:t>
      </w:r>
      <w:r>
        <w:rPr>
          <w:i/>
          <w:iCs/>
        </w:rPr>
        <w:t xml:space="preserve">trivarga</w:t>
      </w:r>
      <w:r>
        <w:t xml:space="preserve">).</w:t>
      </w:r>
    </w:p>
    <w:p>
      <w:pPr>
        <w:pStyle w:val="BodyText"/>
      </w:pPr>
      <w:r>
        <w:t xml:space="preserve">8.</w:t>
      </w:r>
    </w:p>
    <w:p>
      <w:pPr>
        <w:pStyle w:val="BodyText"/>
      </w:pPr>
      <w:r>
        <w:t xml:space="preserve">A son was born to him, the commander of all kings and master of all bounties, famed for manifesting in a ⟨single⟩ physical body ⟨both⟩ prowess and a majesty immaculate in purposefulness, generosity, constancy and virtue (</w:t>
      </w:r>
      <w:r>
        <w:rPr>
          <w:i/>
          <w:iCs/>
        </w:rPr>
        <w:t xml:space="preserve">dharma</w:t>
      </w:r>
      <w:r>
        <w:t xml:space="preserve">).</w:t>
      </w:r>
    </w:p>
    <w:p>
      <w:pPr>
        <w:pStyle w:val="BodyText"/>
      </w:pPr>
      <w:r>
        <w:t xml:space="preserve">9.</w:t>
      </w:r>
    </w:p>
    <w:p>
      <w:pPr>
        <w:pStyle w:val="BodyText"/>
      </w:pPr>
      <w:r>
        <w:t xml:space="preserve">⟨Called⟩ Vijayāditya (III), “the Sun of Triumph” in ⟨this⟩ world, he defeated with his flashing sword the swarms of enemies eager for battle ⟨and⟩ no few kings thanks to being endowed with prowess by nature and having gradually heightened his store of ferocious energy (</w:t>
      </w:r>
      <w:r>
        <w:rPr>
          <w:i/>
          <w:iCs/>
        </w:rPr>
        <w:t xml:space="preserve">tejas</w:t>
      </w:r>
      <w:r>
        <w:t xml:space="preserve">), and by his virtues (</w:t>
      </w:r>
      <w:r>
        <w:rPr>
          <w:i/>
          <w:iCs/>
        </w:rPr>
        <w:t xml:space="preserve">guṇa</w:t>
      </w:r>
      <w:r>
        <w:t xml:space="preserve">)</w:t>
      </w:r>
      <w:r>
        <w:rPr>
          <w:rStyle w:val="FootnoteReference"/>
        </w:rPr>
        <w:footnoteReference w:id="19"/>
      </w:r>
      <w:r>
        <w:t xml:space="preserve"> </w:t>
      </w:r>
      <w:r>
        <w:t xml:space="preserve">comprised of valour and glory he constantly surpassed even the sun {with its rays full of heat and brilliance}.</w:t>
      </w:r>
    </w:p>
    <w:p>
      <w:pPr>
        <w:pStyle w:val="BodyText"/>
      </w:pPr>
      <w:r>
        <w:t xml:space="preserve">10.</w:t>
      </w:r>
    </w:p>
    <w:p>
      <w:pPr>
        <w:pStyle w:val="BodyText"/>
      </w:pPr>
      <w:r>
        <w:t xml:space="preserve">Defeating the unrivalled Gaṅgas at the instigation</w:t>
      </w:r>
      <w:r>
        <w:rPr>
          <w:rStyle w:val="FootnoteReference"/>
        </w:rPr>
        <w:footnoteReference w:id="20"/>
      </w:r>
      <w:r>
        <w:t xml:space="preserve"> </w:t>
      </w:r>
      <w:r>
        <w:t xml:space="preserve">of the Raṭṭa lord (Amoghavarṣa I?), he, that sun</w:t>
      </w:r>
      <w:r>
        <w:rPr>
          <w:rStyle w:val="FootnoteReference"/>
        </w:rPr>
        <w:footnoteReference w:id="22"/>
      </w:r>
      <w:r>
        <w:t xml:space="preserve"> </w:t>
      </w:r>
      <w:r>
        <w:t xml:space="preserve">⟨blazing with⟩ valour gained from his powerful arms and possessing the prowess of (Śiva) the nemesis of Kāma,</w:t>
      </w:r>
      <w:r>
        <w:rPr>
          <w:rStyle w:val="FootnoteReference"/>
        </w:rPr>
        <w:footnoteReference w:id="24"/>
      </w:r>
      <w:r>
        <w:t xml:space="preserve"> </w:t>
      </w:r>
      <w:r>
        <w:t xml:space="preserve">took the head of Maṅgi in battle. This masterful man, whose hallmark was the extensive and just valour achieved through his unbroken strength,</w:t>
      </w:r>
      <w:r>
        <w:rPr>
          <w:rStyle w:val="FootnoteReference"/>
        </w:rPr>
        <w:footnoteReference w:id="25"/>
      </w:r>
      <w:r>
        <w:t xml:space="preserve"> </w:t>
      </w:r>
      <w:r>
        <w:t xml:space="preserve">not only visited fear and anguish on Kr̥ṣṇa ⟨and⟩ Saṁkila,</w:t>
      </w:r>
      <w:r>
        <w:rPr>
          <w:rStyle w:val="FootnoteReference"/>
        </w:rPr>
        <w:footnoteReference w:id="26"/>
      </w:r>
      <w:r>
        <w:t xml:space="preserve"> </w:t>
      </w:r>
      <w:r>
        <w:t xml:space="preserve">but utterly burned their city.</w:t>
      </w:r>
    </w:p>
    <w:p>
      <w:pPr>
        <w:pStyle w:val="BodyText"/>
      </w:pPr>
      <w:r>
        <w:rPr>
          <w:rStyle w:val="ColorGray"/>
        </w:rPr>
        <w:t xml:space="preserve">⟨27–33⟩</w:t>
      </w:r>
      <w:r>
        <w:t xml:space="preserve"> </w:t>
      </w:r>
      <w:r>
        <w:t xml:space="preserve">that shelter of the entire universe (</w:t>
      </w:r>
      <w:r>
        <w:rPr>
          <w:i/>
          <w:iCs/>
        </w:rPr>
        <w:t xml:space="preserve">samasta-bhuvanāśraya</w:t>
      </w:r>
      <w:r>
        <w:t xml:space="preserve">), His Majesty Vijayāditya (III), ⟨reigned⟩ for forty-four years. After him, the son of his younger brother Vikramāditya (I), King (</w:t>
      </w:r>
      <w:r>
        <w:rPr>
          <w:i/>
          <w:iCs/>
        </w:rPr>
        <w:t xml:space="preserve">adhipa</w:t>
      </w:r>
      <w:r>
        <w:t xml:space="preserve">) Calukya-Bhīma (I) who was also known as Drohārjuna, became king (</w:t>
      </w:r>
      <w:r>
        <w:rPr>
          <w:i/>
          <w:iCs/>
        </w:rPr>
        <w:t xml:space="preserve">adhipati</w:t>
      </w:r>
      <w:r>
        <w:t xml:space="preserve">), who with the gleam of his sword, the only companion to his valour, cast light on the country of Veṅgī that had been enveloped by the forces of the Rāṣṭrakūṭas (</w:t>
      </w:r>
      <w:r>
        <w:rPr>
          <w:i/>
          <w:iCs/>
        </w:rPr>
        <w:t xml:space="preserve">raṭṭa</w:t>
      </w:r>
      <w:r>
        <w:t xml:space="preserve">) and his rivals (</w:t>
      </w:r>
      <w:r>
        <w:rPr>
          <w:i/>
          <w:iCs/>
        </w:rPr>
        <w:t xml:space="preserve">dāyāda</w:t>
      </w:r>
      <w:r>
        <w:t xml:space="preserve">) as if by a shroud of darkness upon the setting of the sun. Moreover: like both parents, like a friend, like a preceptor, he showered whatever they desired on the afflicted, the helpless, the naked, the dancers (</w:t>
      </w:r>
      <w:r>
        <w:rPr>
          <w:i/>
          <w:iCs/>
        </w:rPr>
        <w:t xml:space="preserve">naṭa</w:t>
      </w:r>
      <w:r>
        <w:t xml:space="preserve">), singers (</w:t>
      </w:r>
      <w:r>
        <w:rPr>
          <w:i/>
          <w:iCs/>
        </w:rPr>
        <w:t xml:space="preserve">gāyaka</w:t>
      </w:r>
      <w:r>
        <w:t xml:space="preserve">) and religious showmen (</w:t>
      </w:r>
      <w:r>
        <w:rPr>
          <w:i/>
          <w:iCs/>
        </w:rPr>
        <w:t xml:space="preserve">dharma-dhvaja-vr̥tti</w:t>
      </w:r>
      <w:r>
        <w:t xml:space="preserve">)</w:t>
      </w:r>
      <w:r>
        <w:rPr>
          <w:rStyle w:val="FootnoteReference"/>
        </w:rPr>
        <w:footnoteReference w:id="28"/>
      </w:r>
      <w:r>
        <w:t xml:space="preserve"> </w:t>
      </w:r>
      <w:r>
        <w:t xml:space="preserve">and gratified their hearts with his largesse like a wish-fulfilling tree. Having reigned in this manner for thirty years, he went to become Purandara’s (Indra’s) companion as if gladdening him with his virtues.</w:t>
      </w:r>
    </w:p>
    <w:p>
      <w:pPr>
        <w:pStyle w:val="BodyText"/>
      </w:pPr>
      <w:r>
        <w:t xml:space="preserve">11.</w:t>
      </w:r>
    </w:p>
    <w:p>
      <w:pPr>
        <w:pStyle w:val="BodyText"/>
      </w:pPr>
      <w:r>
        <w:t xml:space="preserve">His son Vijayāditya (IV) was famed for his bountifulness that began ⟨already⟩ in childhood, and for ⟨possessing⟩ all riches, constituents of imperial power, troops and jewels.</w:t>
      </w:r>
    </w:p>
    <w:p>
      <w:pPr>
        <w:pStyle w:val="BodyText"/>
      </w:pPr>
      <w:r>
        <w:t xml:space="preserve">12.</w:t>
      </w:r>
    </w:p>
    <w:p>
      <w:pPr>
        <w:pStyle w:val="BodyText"/>
      </w:pPr>
      <w:r>
        <w:t xml:space="preserve">Thanks to his valour, he ⟨first⟩ eradicated the host of his father’s enemies by the strength of his arm even while his father still lived. Then, having defeated the host of his intrinsic enemies</w:t>
      </w:r>
      <w:r>
        <w:rPr>
          <w:rStyle w:val="FootnoteReference"/>
        </w:rPr>
        <w:footnoteReference w:id="30"/>
      </w:r>
      <w:r>
        <w:t xml:space="preserve"> </w:t>
      </w:r>
      <w:r>
        <w:t xml:space="preserve">⟨thanks to⟩ invincible strategy endowed with great power, and ⟨having defeated⟩ the league of external enemies with the army of his intellect, ⟨this⟩ king (</w:t>
      </w:r>
      <w:r>
        <w:rPr>
          <w:i/>
          <w:iCs/>
        </w:rPr>
        <w:t xml:space="preserve">adhipa</w:t>
      </w:r>
      <w:r>
        <w:t xml:space="preserve">), being content with the enjoyment of his objectives (</w:t>
      </w:r>
      <w:r>
        <w:rPr>
          <w:i/>
          <w:iCs/>
        </w:rPr>
        <w:t xml:space="preserve">svārtha</w:t>
      </w:r>
      <w:r>
        <w:t xml:space="preserve">) and having attained glory through the blessings of his kingdom, went on to overcome Indra, ¿whose share ⟨of glory⟩ was equal to (i.e. no greater than) ⟨that of Vijayāditya⟩?.</w:t>
      </w:r>
      <w:r>
        <w:rPr>
          <w:rStyle w:val="FootnoteReference"/>
        </w:rPr>
        <w:footnoteReference w:id="31"/>
      </w:r>
    </w:p>
    <w:p>
      <w:pPr>
        <w:pStyle w:val="BodyText"/>
      </w:pPr>
      <w:r>
        <w:rPr>
          <w:rStyle w:val="ColorGray"/>
        </w:rPr>
        <w:t xml:space="preserve">⟨38–44⟩</w:t>
      </w:r>
      <w:r>
        <w:t xml:space="preserve"> </w:t>
      </w:r>
      <w:r>
        <w:t xml:space="preserve">His son Amma, otherwise called Rājamahendra, has dispelled from afar the darkness of enemies like a rising sun, has brandished his sword to shatter the twisted minds of his feudatories (</w:t>
      </w:r>
      <w:r>
        <w:rPr>
          <w:i/>
          <w:iCs/>
        </w:rPr>
        <w:t xml:space="preserve">sāmanta</w:t>
      </w:r>
      <w:r>
        <w:t xml:space="preserve">) and kinsmen (</w:t>
      </w:r>
      <w:r>
        <w:rPr>
          <w:i/>
          <w:iCs/>
        </w:rPr>
        <w:t xml:space="preserve">kulya</w:t>
      </w:r>
      <w:r>
        <w:t xml:space="preserve">) who had thrown in their lot with the party of his natural enemies, and has won the loyalty of the subjects and troops of his father and grandfather by his valour complete with the three powers (</w:t>
      </w:r>
      <w:r>
        <w:rPr>
          <w:i/>
          <w:iCs/>
        </w:rPr>
        <w:t xml:space="preserve">śakti-traya</w:t>
      </w:r>
      <w:r>
        <w:t xml:space="preserve">). Imitating (Br̥haspati) the preceptor of the gods in intellect, the Sun in splendour, the earth in patience and the divine mountain (Meru) in being a supporter {the abode} of diverse learned men {gods}, ⟨he,⟩ the shelter of all the world (</w:t>
      </w:r>
      <w:r>
        <w:rPr>
          <w:i/>
          <w:iCs/>
        </w:rPr>
        <w:t xml:space="preserve">sarva-lokāśraya</w:t>
      </w:r>
      <w:r>
        <w:t xml:space="preserve">), His Majesty His Majesty King (</w:t>
      </w:r>
      <w:r>
        <w:rPr>
          <w:i/>
          <w:iCs/>
        </w:rPr>
        <w:t xml:space="preserve">mahārāja</w:t>
      </w:r>
      <w:r>
        <w:t xml:space="preserve">) Viṣṇuvardhana (VI), having received the sacrament of being anointed to his own kingship and having ascended his throne, has convoked all householders (</w:t>
      </w:r>
      <w:r>
        <w:rPr>
          <w:i/>
          <w:iCs/>
        </w:rPr>
        <w:t xml:space="preserve">kuṭumbin</w:t>
      </w:r>
      <w:r>
        <w:t xml:space="preserve">) who reside in Kaṇḍeṟuvāḍi district (</w:t>
      </w:r>
      <w:r>
        <w:rPr>
          <w:i/>
          <w:iCs/>
        </w:rPr>
        <w:t xml:space="preserve">viṣaya</w:t>
      </w:r>
      <w:r>
        <w:t xml:space="preserve">) and commanded them thus:</w:t>
      </w:r>
    </w:p>
    <w:p>
      <w:pPr>
        <w:pStyle w:val="BodyText"/>
      </w:pPr>
      <w:r>
        <w:rPr>
          <w:rStyle w:val="ColorGray"/>
        </w:rPr>
        <w:t xml:space="preserve">⟨44–48⟩</w:t>
      </w:r>
      <w:r>
        <w:t xml:space="preserve"> </w:t>
      </w:r>
      <w:r>
        <w:t xml:space="preserve">⟨There was⟩ a chieftain of the Paṭṭavardhinī family which is charged with duties by the sacred tradition of our dynasty. Widely known as Kāḻakampa, this lieutenant of Kubja Viṣṇuvardhana slew in battle by his (Viṣṇuvardhana’s) authorisation one ⟨enemy⟩ of indomitable forces, Daddara by name, and seized his insignia (of power). Born in his family, Somāditya had a son Pritiviyarāja, who has achieved a hero’s reputation in many a battle.</w:t>
      </w:r>
    </w:p>
    <w:p>
      <w:pPr>
        <w:pStyle w:val="BodyText"/>
      </w:pPr>
      <w:r>
        <w:t xml:space="preserve">13.</w:t>
      </w:r>
    </w:p>
    <w:p>
      <w:pPr>
        <w:pStyle w:val="BodyText"/>
      </w:pPr>
      <w:r>
        <w:t xml:space="preserve">His son, whose weapons break the arrogance of all enemies, is a servant of King Vijayāditya (IV) whose epithet is Kaliyartti.</w:t>
      </w:r>
    </w:p>
    <w:p>
      <w:pPr>
        <w:pStyle w:val="BodyText"/>
      </w:pPr>
      <w:r>
        <w:t xml:space="preserve">14.</w:t>
      </w:r>
    </w:p>
    <w:p>
      <w:pPr>
        <w:pStyle w:val="BodyText"/>
      </w:pPr>
      <w:r>
        <w:t xml:space="preserve">Foes are terrified to see this Bhaṇḍanāditya appear, for ¿with collyrium ⟨applied⟩ to his face and a bright mark on his cheek? he looks like Yama {¿with (his elephant) Añjana turned against them, temple shining (with rut fluid)?}.</w:t>
      </w:r>
      <w:r>
        <w:rPr>
          <w:rStyle w:val="FootnoteReference"/>
        </w:rPr>
        <w:footnoteReference w:id="32"/>
      </w:r>
    </w:p>
    <w:p>
      <w:pPr>
        <w:pStyle w:val="BodyText"/>
      </w:pPr>
      <w:r>
        <w:rPr>
          <w:rStyle w:val="ColorGray"/>
        </w:rPr>
        <w:t xml:space="preserve">⟨51⟩</w:t>
      </w:r>
      <w:r>
        <w:t xml:space="preserve"> </w:t>
      </w:r>
      <w:r>
        <w:t xml:space="preserve">He it is who,</w:t>
      </w:r>
    </w:p>
    <w:p>
      <w:pPr>
        <w:pStyle w:val="BodyText"/>
      </w:pPr>
      <w:r>
        <w:t xml:space="preserve">15.</w:t>
      </w:r>
    </w:p>
    <w:p>
      <w:pPr>
        <w:pStyle w:val="BodyText"/>
      </w:pPr>
      <w:r>
        <w:t xml:space="preserve">by sounding the drum of heroes while defeating the force of ⟨my⟩ enemies in the thick of battle, ⟨became⟩ an abode of great reputation hallmarked by the sobriquet “Kuntāditya,” ⟨and⟩ having pleased my mind, attained a position as ⟨my⟩ retainer and obtained ⟨my⟩ favour ⟨through being⟩ a conqueror of puffed-up enemy rulers with numerous troops, and elevated ⟨both⟩ by his illustrious descent and by ⟨the might of his own⟩ arms.</w:t>
      </w:r>
    </w:p>
    <w:p>
      <w:pPr>
        <w:pStyle w:val="BodyText"/>
      </w:pPr>
      <w:r>
        <w:rPr>
          <w:rStyle w:val="ColorGray"/>
        </w:rPr>
        <w:t xml:space="preserve">⟨53–55⟩</w:t>
      </w:r>
      <w:r>
        <w:t xml:space="preserve"> </w:t>
      </w:r>
      <w:r>
        <w:t xml:space="preserve">To him, we have granted the village named Goṁṭūru along with twelve hamlets, converted into ⟨a holding⟩ exempt from all taxes. Let it be known to you that by us</w:t>
      </w:r>
      <w:r>
        <w:rPr>
          <w:rStyle w:val="FootnoteReference"/>
        </w:rPr>
        <w:footnoteReference w:id="33"/>
      </w:r>
    </w:p>
    <w:p>
      <w:pPr>
        <w:pStyle w:val="BodyText"/>
      </w:pPr>
      <w:r>
        <w:rPr>
          <w:rStyle w:val="ColorGray"/>
        </w:rPr>
        <w:t xml:space="preserve">⟨55–60⟩</w:t>
      </w:r>
      <w:r>
        <w:t xml:space="preserve"> </w:t>
      </w:r>
      <w:r>
        <w:t xml:space="preserve">Its boundaries ⟨are as follows⟩. To the east, Goṁguva. To the south, Goṇayūru. To the west, Kaluceṟuvulu. To the north, Maḍapalli. Within these are situated the ⟨following⟩ perimeter fields.</w:t>
      </w:r>
      <w:r>
        <w:rPr>
          <w:rStyle w:val="FootnoteReference"/>
        </w:rPr>
        <w:footnoteReference w:id="34"/>
      </w:r>
      <w:r>
        <w:t xml:space="preserve"> </w:t>
      </w:r>
      <w:r>
        <w:t xml:space="preserve">To the east, Pātuṟāyu. To the southeast, Peddakoyilamu. To the south, Kuṟuvapoṭi. To the southwest, Peruvāti ⟨and⟩ Kuṟuva. To the west, Pālaguṁṭṭa ⟨and⟩ Paḍumaṭikaṭṭa.</w:t>
      </w:r>
      <w:r>
        <w:rPr>
          <w:rStyle w:val="FootnoteReference"/>
        </w:rPr>
        <w:footnoteReference w:id="35"/>
      </w:r>
      <w:r>
        <w:t xml:space="preserve"> </w:t>
      </w:r>
      <w:r>
        <w:t xml:space="preserve">To the northwest, Polakuṁgoṇḍa, Monadurgga ⟨and⟩ Bhadhavati. To the north, Maḍapallipaṟṟu. To the northeast, Cāmiṟeniguṁṭṭa.</w:t>
      </w:r>
    </w:p>
    <w:p>
      <w:pPr>
        <w:pStyle w:val="BodyText"/>
      </w:pPr>
      <w:r>
        <w:rPr>
          <w:rStyle w:val="ColorGray"/>
        </w:rPr>
        <w:t xml:space="preserve">⟨60–61⟩</w:t>
      </w:r>
      <w:r>
        <w:t xml:space="preserve"> </w:t>
      </w:r>
      <w:r>
        <w:t xml:space="preserve">Let no-one pose an obstacle (to his enjoyment of his rights) over it. He who does so shall be ⟨conjoined with⟩ the five great sins. So too Vyāsa has said:</w:t>
      </w:r>
    </w:p>
    <w:p>
      <w:pPr>
        <w:pStyle w:val="BodyText"/>
      </w:pPr>
      <w:r>
        <w:t xml:space="preserve">16.</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17.</w:t>
      </w:r>
    </w:p>
    <w:p>
      <w:pPr>
        <w:pStyle w:val="BodyText"/>
      </w:pPr>
      <w:r>
        <w:t xml:space="preserve">He who would seize land, whether given by himself or by another, shall be born as a worm in faeces for sixty thousand years.</w:t>
      </w:r>
    </w:p>
    <w:p>
      <w:pPr>
        <w:pStyle w:val="Heading1"/>
      </w:pPr>
      <w:r>
        <w:t xml:space="preserve">Translation into French by</w:t>
      </w:r>
      <w:r>
        <w:t xml:space="preserve"> </w:t>
      </w:r>
      <w:hyperlink r:id="rId36">
        <w:r>
          <w:rPr>
            <w:rStyle w:val="Hyperlink"/>
          </w:rPr>
          <w:t xml:space="preserve">Estienne-Monod 2008</w:t>
        </w:r>
      </w:hyperlink>
    </w:p>
    <w:p>
      <w:pPr>
        <w:pStyle w:val="Heading2"/>
      </w:pPr>
      <w:r>
        <w:t xml:space="preserve">Plates</w:t>
      </w:r>
    </w:p>
    <w:p>
      <w:pPr>
        <w:pStyle w:val="FirstParagraph"/>
      </w:pPr>
      <w:r>
        <w:t xml:space="preserve">1.</w:t>
      </w:r>
    </w:p>
    <w:p>
      <w:pPr>
        <w:pStyle w:val="BodyText"/>
      </w:pPr>
      <w:r>
        <w:t xml:space="preserve">Prospérité éternelle, sous toutes ses formes, pour le monde entier, Que les vaches, les brahmanes et les rois jouissent éternellement de la prospérité !</w:t>
      </w:r>
    </w:p>
    <w:p>
      <w:pPr>
        <w:pStyle w:val="BodyText"/>
      </w:pPr>
      <w:r>
        <w:rPr>
          <w:rStyle w:val="ColorGray"/>
        </w:rPr>
        <w:t xml:space="preserve">⟨2–12⟩</w:t>
      </w:r>
      <w:r>
        <w:t xml:space="preserve"> </w:t>
      </w:r>
      <w:r>
        <w:t xml:space="preserve">Prospérité ! Kubja Viṣṇuvardhana, frère de Satyāśraya Vallabhendra, ornement de la lignée des Calukya, illustres, du même</w:t>
      </w:r>
      <w:r>
        <w:t xml:space="preserve"> </w:t>
      </w:r>
      <w:r>
        <w:rPr>
          <w:i/>
          <w:iCs/>
        </w:rPr>
        <w:t xml:space="preserve">gotra</w:t>
      </w:r>
      <w:r>
        <w:t xml:space="preserve"> </w:t>
      </w:r>
      <w:r>
        <w:t xml:space="preserve">que les descendants de Manu, honorés dans l’univers entier, fils de Hāritī, qui obtinrent leur royaume grâce à l’excellente faveur de Kauśikī, protégés par la troupes des Mères, méditant aux pieds du seigneur Mahāsena, dont le cercle des ennemis fut soumis en un instant à la vue du signe illustre de l’excellent sanglier, faveur octroyée par le bienheureux Nārāyaṇa, dont les corps furent purifiés par le bain purificatoire de l’</w:t>
      </w:r>
      <w:r>
        <w:rPr>
          <w:i/>
          <w:iCs/>
        </w:rPr>
        <w:t xml:space="preserve">aśvamedha</w:t>
      </w:r>
      <w:r>
        <w:t xml:space="preserve">, ⟨régna⟩ pendant dix-huit années ; son fils, Jayasiṁha Vallabha, pendant trente-trois années ; le fils de son frère Indrarāja, Viṣṇuvardhana, pendant neuf années ; le fils de celui-ci, Maṁgi Yuvarāja, pendant vingt-cinq années ; son fils, Jayasiṁha, pendant treize années ; son demi-fère cadet, Kokkili, pendant six mois ; le frère aîné de celui-ci, Viṣṇurāja, ayant chassé son cadet, pendant trente-sept années ; son fils Vijayāditya Bhaṭṭāraka pendant dix-huit années ; le fils de celui-ci, Viṣṇuvardhana, pendant trente-six années ; le fils de ce dernier,</w:t>
      </w:r>
    </w:p>
    <w:p>
      <w:pPr>
        <w:pStyle w:val="BodyText"/>
      </w:pPr>
      <w:r>
        <w:t xml:space="preserve">2–3.</w:t>
      </w:r>
    </w:p>
    <w:p>
      <w:pPr>
        <w:pStyle w:val="BodyText"/>
      </w:pPr>
      <w:r>
        <w:t xml:space="preserve">ayant mené cent huit combats</w:t>
      </w:r>
      <w:r>
        <w:rPr>
          <w:rStyle w:val="FootnoteReference"/>
        </w:rPr>
        <w:footnoteReference w:id="37"/>
      </w:r>
      <w:r>
        <w:t xml:space="preserve"> </w:t>
      </w:r>
      <w:r>
        <w:t xml:space="preserve">contre les armées des Gaṁga et des Raṭṭa, pendant douze années et demi, jour et nuit, ⟨peuples maîtrisant⟩ la science de la politique et doués de courage,</w:t>
      </w:r>
      <w:r>
        <w:rPr>
          <w:rStyle w:val="FootnoteReference"/>
        </w:rPr>
        <w:footnoteReference w:id="38"/>
      </w:r>
      <w:r>
        <w:t xml:space="preserve"> </w:t>
      </w:r>
      <w:r>
        <w:t xml:space="preserve">lui, qui avait acquis la puissance grâce à son bras, muni d’une épée, fit autant de grands temples pour Śaṁbhu, lui, le courageux roi Vijayāditya.</w:t>
      </w:r>
    </w:p>
    <w:p>
      <w:pPr>
        <w:pStyle w:val="BodyText"/>
      </w:pPr>
      <w:r>
        <w:t xml:space="preserve">4.</w:t>
      </w:r>
    </w:p>
    <w:p>
      <w:pPr>
        <w:pStyle w:val="BodyText"/>
      </w:pPr>
      <w:r>
        <w:t xml:space="preserve">Ayant régné pendant quarante-quatre années, le seigneur de Veṅgī, devint l’ami de l’époux de Śacī.</w:t>
      </w:r>
    </w:p>
    <w:p>
      <w:pPr>
        <w:pStyle w:val="BodyText"/>
      </w:pPr>
      <w:r>
        <w:t xml:space="preserve">5.</w:t>
      </w:r>
    </w:p>
    <w:p>
      <w:pPr>
        <w:pStyle w:val="BodyText"/>
      </w:pPr>
      <w:r>
        <w:t xml:space="preserve">Son fils, qui connaissait la science de la politique, courageux, dont le nom commence par Kali,</w:t>
      </w:r>
      <w:r>
        <w:rPr>
          <w:rStyle w:val="FootnoteReference"/>
        </w:rPr>
        <w:footnoteReference w:id="39"/>
      </w:r>
      <w:r>
        <w:t xml:space="preserve"> </w:t>
      </w:r>
      <w:r>
        <w:t xml:space="preserve">Viṣṇuvardhana, souverain de Veṅgī, expert en tous combats de l’âge Kali,</w:t>
      </w:r>
      <w:r>
        <w:rPr>
          <w:rStyle w:val="FootnoteReference"/>
        </w:rPr>
        <w:footnoteReference w:id="40"/>
      </w:r>
    </w:p>
    <w:p>
      <w:pPr>
        <w:pStyle w:val="BodyText"/>
      </w:pPr>
      <w:r>
        <w:t xml:space="preserve">6.</w:t>
      </w:r>
    </w:p>
    <w:p>
      <w:pPr>
        <w:pStyle w:val="BodyText"/>
      </w:pPr>
      <w:r>
        <w:t xml:space="preserve">expert dans le maintien et l’ordre des varṇa et des āśrama, qui se consacrait à ⟨la science de⟩ la protection, dont le bras s’attachait à la victoire sur les villes ennemies, dont le tejas gagna sur toute la surface de la terre, rendue prospère par des ministres voués à la préservation du</w:t>
      </w:r>
      <w:r>
        <w:t xml:space="preserve"> </w:t>
      </w:r>
      <w:r>
        <w:rPr>
          <w:i/>
          <w:iCs/>
        </w:rPr>
        <w:t xml:space="preserve">trivarga</w:t>
      </w:r>
      <w:r>
        <w:t xml:space="preserve">.</w:t>
      </w:r>
    </w:p>
    <w:p>
      <w:pPr>
        <w:pStyle w:val="BodyText"/>
      </w:pPr>
      <w:r>
        <w:t xml:space="preserve">7.</w:t>
      </w:r>
    </w:p>
    <w:p>
      <w:pPr>
        <w:pStyle w:val="BodyText"/>
      </w:pPr>
      <w:r>
        <w:t xml:space="preserve">Expert dans les combats d’éléphants et de cavalerie, il fut roi de son excellente lignée, pendant un an et demi, lui qui savait ⟨comment appliquer⟩ la science de la politique fut sacré sur son trône.</w:t>
      </w:r>
    </w:p>
    <w:p>
      <w:pPr>
        <w:pStyle w:val="BodyText"/>
      </w:pPr>
      <w:r>
        <w:t xml:space="preserve">8.</w:t>
      </w:r>
    </w:p>
    <w:p>
      <w:pPr>
        <w:pStyle w:val="BodyText"/>
      </w:pPr>
      <w:r>
        <w:t xml:space="preserve">Son fils ⟨fut⟩ le maître de tous les rois et le seigneur de toutes les richesses, renommé pour sa personne, porteuse de la splendeur de la gloire, que son courage, sa générosité, sa fermeté, son ⟨respect⟩ du</w:t>
      </w:r>
      <w:r>
        <w:t xml:space="preserve"> </w:t>
      </w:r>
      <w:r>
        <w:rPr>
          <w:i/>
          <w:iCs/>
        </w:rPr>
        <w:t xml:space="preserve">dharma</w:t>
      </w:r>
      <w:r>
        <w:t xml:space="preserve"> </w:t>
      </w:r>
      <w:r>
        <w:t xml:space="preserve">rendaient immaculée.</w:t>
      </w:r>
    </w:p>
    <w:p>
      <w:pPr>
        <w:pStyle w:val="BodyText"/>
      </w:pPr>
      <w:r>
        <w:t xml:space="preserve">9.</w:t>
      </w:r>
    </w:p>
    <w:p>
      <w:pPr>
        <w:pStyle w:val="BodyText"/>
      </w:pPr>
      <w:r>
        <w:t xml:space="preserve">Ayant vaincu par son étincelante épée des multitudes d’ennemis rompus au combat, de nombreux souverains, doté de force par sa nature,</w:t>
      </w:r>
      <w:r>
        <w:rPr>
          <w:rStyle w:val="FootnoteReference"/>
        </w:rPr>
        <w:footnoteReference w:id="41"/>
      </w:r>
      <w:r>
        <w:t xml:space="preserve"> </w:t>
      </w:r>
      <w:r>
        <w:t xml:space="preserve">grandi par l’héritage d’une abondante splendeur, il surpassa pour toujours le soleil dans l’univers par ses vertus qui consistaient en splendeur et gloire, lui Vijayāditya.</w:t>
      </w:r>
    </w:p>
    <w:p>
      <w:pPr>
        <w:pStyle w:val="BodyText"/>
      </w:pPr>
      <w:r>
        <w:t xml:space="preserve">10.</w:t>
      </w:r>
    </w:p>
    <w:p>
      <w:pPr>
        <w:pStyle w:val="BodyText"/>
      </w:pPr>
      <w:r>
        <w:t xml:space="preserve">Ayant vaincu les Gaṁga inégalés, lui qui possédait la puissance de l’ennemi d’Aṅgaja,</w:t>
      </w:r>
      <w:r>
        <w:rPr>
          <w:rStyle w:val="FootnoteReference"/>
        </w:rPr>
        <w:footnoteReference w:id="42"/>
      </w:r>
      <w:r>
        <w:t xml:space="preserve"> </w:t>
      </w:r>
      <w:r>
        <w:t xml:space="preserve">provoqué par le seigneur des Raṭṭa, ce soleil d’héroïsme</w:t>
      </w:r>
      <w:r>
        <w:rPr>
          <w:rStyle w:val="FootnoteReference"/>
        </w:rPr>
        <w:footnoteReference w:id="43"/>
      </w:r>
      <w:r>
        <w:t xml:space="preserve"> </w:t>
      </w:r>
      <w:r>
        <w:t xml:space="preserve">au bras puissant trancha la tête de Maṁgi</w:t>
      </w:r>
      <w:r>
        <w:rPr>
          <w:rStyle w:val="FootnoteReference"/>
        </w:rPr>
        <w:footnoteReference w:id="44"/>
      </w:r>
      <w:r>
        <w:t xml:space="preserve"> </w:t>
      </w:r>
      <w:r>
        <w:t xml:space="preserve">lors d’un combat, lui qui conquit une grande et belle puissance par sa force, dont l’univers fut marqué, ce seigneur qui, faisant une torche de Kr̥ṣṇa, affligé par la terreur, brûla complètement sa cité.</w:t>
      </w:r>
    </w:p>
    <w:p>
      <w:pPr>
        <w:pStyle w:val="BodyText"/>
      </w:pPr>
      <w:r>
        <w:rPr>
          <w:rStyle w:val="ColorGray"/>
        </w:rPr>
        <w:t xml:space="preserve">⟨27–33⟩</w:t>
      </w:r>
      <w:r>
        <w:t xml:space="preserve"> </w:t>
      </w:r>
      <w:r>
        <w:t xml:space="preserve">Refuge de l’univers entier, l’illustre Vijayāditya ⟨régna⟩ pendant quarante-quatre années. Puis, le fils de Vikramāditya, frère cadet de ce dernier, le roi Calukya Bhīma, nommé aussi Drohārjuna, fut roi, après avoir illuminé, par l’éclat de son épée, accompagnée de son seul courage, le royaume de Veṁgī, envahi par l’armée des héritiers des Raṭṭa, comme au coucher du soleil ⟨le monde est envahi⟩ par un voile de ténèbres. Ayant comblé les désirs des hommes malheureux, sans protection, nus,</w:t>
      </w:r>
      <w:r>
        <w:rPr>
          <w:rStyle w:val="FootnoteReference"/>
        </w:rPr>
        <w:footnoteReference w:id="45"/>
      </w:r>
      <w:r>
        <w:t xml:space="preserve"> </w:t>
      </w:r>
      <w:r>
        <w:t xml:space="preserve">des danseurs, des chanteurs, de ceux qui tirent subsistance de la bannière du</w:t>
      </w:r>
      <w:r>
        <w:t xml:space="preserve"> </w:t>
      </w:r>
      <w:r>
        <w:rPr>
          <w:i/>
          <w:iCs/>
        </w:rPr>
        <w:t xml:space="preserve">dharma</w:t>
      </w:r>
      <w:r>
        <w:t xml:space="preserve">,</w:t>
      </w:r>
      <w:r>
        <w:rPr>
          <w:rStyle w:val="FootnoteReference"/>
        </w:rPr>
        <w:footnoteReference w:id="46"/>
      </w:r>
      <w:r>
        <w:t xml:space="preserve"> </w:t>
      </w:r>
      <w:r>
        <w:t xml:space="preserve">comme des parents, comme un ami, comme un père, faisant ⟨naître⟩ la joie dans les cœurs par ses dons comme l’arbre à vœux, après avoir régné pendant trente années, contentant Puraṁdara</w:t>
      </w:r>
      <w:r>
        <w:rPr>
          <w:rStyle w:val="FootnoteReference"/>
        </w:rPr>
        <w:footnoteReference w:id="47"/>
      </w:r>
      <w:r>
        <w:t xml:space="preserve"> </w:t>
      </w:r>
      <w:r>
        <w:t xml:space="preserve">par ses vertus, il devint le compagnon de celui-ci.</w:t>
      </w:r>
    </w:p>
    <w:p>
      <w:pPr>
        <w:pStyle w:val="BodyText"/>
      </w:pPr>
      <w:r>
        <w:t xml:space="preserve">11.</w:t>
      </w:r>
    </w:p>
    <w:p>
      <w:pPr>
        <w:pStyle w:val="BodyText"/>
      </w:pPr>
      <w:r>
        <w:t xml:space="preserve">Son fils Vijayāditya, qui obtint la prospérité dès son enfance, fut renommé pour ce joyau que fut la force de son corps, maîtrisant de tous les plaisirs,</w:t>
      </w:r>
    </w:p>
    <w:p>
      <w:pPr>
        <w:pStyle w:val="BodyText"/>
      </w:pPr>
      <w:r>
        <w:t xml:space="preserve">12.</w:t>
      </w:r>
    </w:p>
    <w:p>
      <w:pPr>
        <w:pStyle w:val="BodyText"/>
      </w:pPr>
      <w:r>
        <w:t xml:space="preserve">Alors que son père était encore en vie, ayant anéanti la multitude d’ennemis de ce dernier par la force de son bras et par sa splendeur, ayant vaincu ensuite la multitude de ses ennemis, lui dont les plans étaient appuyés par les grands pouvoirs invaincus,</w:t>
      </w:r>
      <w:r>
        <w:rPr>
          <w:rStyle w:val="FootnoteReference"/>
        </w:rPr>
        <w:footnoteReference w:id="48"/>
      </w:r>
      <w:r>
        <w:t xml:space="preserve"> </w:t>
      </w:r>
      <w:r>
        <w:t xml:space="preserve">ayant atteint son but par la jouissance de tout ce qu’il souhaitait, désirant ⟨conquérir un autre⟩ royaume, ayant acquis la puissance, ce roi rejoignit Indra afin de conquérir une part égale ⟨au pouvoir de celui-ci⟩.</w:t>
      </w:r>
    </w:p>
    <w:p>
      <w:pPr>
        <w:pStyle w:val="BodyText"/>
      </w:pPr>
      <w:r>
        <w:rPr>
          <w:rStyle w:val="ColorGray"/>
        </w:rPr>
        <w:t xml:space="preserve">⟨38–44⟩</w:t>
      </w:r>
      <w:r>
        <w:t xml:space="preserve"> </w:t>
      </w:r>
      <w:r>
        <w:t xml:space="preserve">Son fils, Amma, nommé aussi Rāja Mahendra, ayant détruit de loin les ennemis, tel le soleil levant ⟨détruit de loin⟩ les ténèbres, ayant dégaîné son cimeterre qui brise les pensées malhonnêtes de ses parents feudataires passés du côté des rivaux naturels, qui s’est acquis le peuple et l’armée</w:t>
      </w:r>
      <w:r>
        <w:rPr>
          <w:rStyle w:val="FootnoteReference"/>
        </w:rPr>
        <w:footnoteReference w:id="49"/>
      </w:r>
      <w:r>
        <w:t xml:space="preserve"> </w:t>
      </w:r>
      <w:r>
        <w:t xml:space="preserve">qui étaient ceux de son père et de son grand-père, dont les plans, appuyés par les trois pouvoirs,</w:t>
      </w:r>
      <w:r>
        <w:rPr>
          <w:rStyle w:val="FootnoteReference"/>
        </w:rPr>
        <w:footnoteReference w:id="50"/>
      </w:r>
      <w:r>
        <w:t xml:space="preserve"> </w:t>
      </w:r>
      <w:r>
        <w:t xml:space="preserve">égalant par son intelligence l’enseignant des dieux,</w:t>
      </w:r>
      <w:r>
        <w:rPr>
          <w:rStyle w:val="FootnoteReference"/>
        </w:rPr>
        <w:footnoteReference w:id="51"/>
      </w:r>
      <w:r>
        <w:t xml:space="preserve"> </w:t>
      </w:r>
      <w:r>
        <w:t xml:space="preserve">par sa splendeur le soleil, par sa patience la terre et la montagne des immortels par le fait qu’il soit un refuge pour les nombreux sages, refuge de tous les hommes, le grand roi Viṣṇuvardhana, ayant organisé une cérémonie pour son couronnement, étant monté sur le trône, ayant rassemblé tous les chefs de familles habitant le viṣaya de Kaṇḍeṟuvāṭi ordonne ceci :</w:t>
      </w:r>
    </w:p>
    <w:p>
      <w:pPr>
        <w:pStyle w:val="BodyText"/>
      </w:pPr>
      <w:r>
        <w:rPr>
          <w:rStyle w:val="ColorGray"/>
        </w:rPr>
        <w:t xml:space="preserve">⟨44–48⟩</w:t>
      </w:r>
      <w:r>
        <w:t xml:space="preserve"> </w:t>
      </w:r>
      <w:r>
        <w:t xml:space="preserve">Le chef de la lignée de Paṭṭavarddhinī, à la tête de charges, par la succession prospère de notre lignée, connu comme Kāḻakaṁpa, qui accompagne Kubja Viṣṇuvardhana, tua au combat, avec la permission de celui-ci, le ⟨roi⟩ nommé Daddara dont l’armée était invincible, et s’empara des bannières de ce dernier. Le fils de Somāditya, né dans la lignée de celui-ci, ⟨fils⟩ dont la puissance fut obtenue dans de nombreux combats, fut Pritiviya Rāja.</w:t>
      </w:r>
    </w:p>
    <w:p>
      <w:pPr>
        <w:pStyle w:val="BodyText"/>
      </w:pPr>
      <w:r>
        <w:t xml:space="preserve">13.</w:t>
      </w:r>
    </w:p>
    <w:p>
      <w:pPr>
        <w:pStyle w:val="BodyText"/>
      </w:pPr>
      <w:r>
        <w:t xml:space="preserve">Son fils, dont les armes brisèrent l’orgueil de tous les ennemis, fut un fidèle serviteur du roi Vijayāditya Kaliyarttyaṁka.</w:t>
      </w:r>
    </w:p>
    <w:p>
      <w:pPr>
        <w:pStyle w:val="BodyText"/>
      </w:pPr>
      <w:r>
        <w:t xml:space="preserve">14.</w:t>
      </w:r>
    </w:p>
    <w:p>
      <w:pPr>
        <w:pStyle w:val="BodyText"/>
      </w:pPr>
      <w:r>
        <w:t xml:space="preserve">Voyant ce Bhaṇḍanāditya venir vers eux, le visage couvert de fard, les ennemis prirent peur, ⟨lui⟩ dont les marques brillaient sur les joues, pareil à Yama.</w:t>
      </w:r>
    </w:p>
    <w:p>
      <w:pPr>
        <w:pStyle w:val="BodyText"/>
      </w:pPr>
      <w:r>
        <w:t xml:space="preserve">15.</w:t>
      </w:r>
    </w:p>
    <w:p>
      <w:pPr>
        <w:pStyle w:val="BodyText"/>
      </w:pPr>
      <w:r>
        <w:t xml:space="preserve">Celui-ci, en effet, faisant, dans le tumulte causé par les ennemis, entendre le tambour des héros, ayant vaincu leur armée, appelé ⟨aussi⟩ Kuṁtāditya, terre d’élection d’une grande gloire et d’une grande majesté, marquées par la Révélation, a satisfait mon cœur, obtenu de me servir et acquis ma faveur, dont la grandeur des bras est l’origine de la fortune de la victoire sur les rois ennemis aux armées abondantes et nombreuses.</w:t>
      </w:r>
    </w:p>
    <w:p>
      <w:pPr>
        <w:pStyle w:val="BodyText"/>
      </w:pPr>
      <w:r>
        <w:rPr>
          <w:rStyle w:val="ColorGray"/>
        </w:rPr>
        <w:t xml:space="preserve">⟨53–55⟩</w:t>
      </w:r>
      <w:r>
        <w:t xml:space="preserve"> </w:t>
      </w:r>
      <w:r>
        <w:t xml:space="preserve">Nous donnons à celui-ci, le village nommé Goṁṭūru, avec douze hameaux, exemptés de toute taxe : que ceci soit connu de vous.</w:t>
      </w:r>
      <w:r>
        <w:rPr>
          <w:rStyle w:val="FootnoteReference"/>
        </w:rPr>
        <w:footnoteReference w:id="52"/>
      </w:r>
    </w:p>
    <w:p>
      <w:pPr>
        <w:pStyle w:val="BodyText"/>
      </w:pPr>
      <w:r>
        <w:rPr>
          <w:rStyle w:val="ColorGray"/>
        </w:rPr>
        <w:t xml:space="preserve">⟨55–60⟩</w:t>
      </w:r>
      <w:r>
        <w:t xml:space="preserve"> </w:t>
      </w:r>
      <w:r>
        <w:t xml:space="preserve">Les limites de celui-ci sont : à l’est Goṁguva, au sud Goṇayūru, à l’ouest Kaluceṟuvulu, au nord Maḍapalli. Les limites de leur territoire</w:t>
      </w:r>
      <w:r>
        <w:rPr>
          <w:rStyle w:val="FootnoteReference"/>
        </w:rPr>
        <w:footnoteReference w:id="53"/>
      </w:r>
      <w:r>
        <w:t xml:space="preserve"> </w:t>
      </w:r>
      <w:r>
        <w:t xml:space="preserve">se trouvent au milieu de ceux-ci : à l’est Potuṟayu, au sud est Peddakoyilamu, au sud Kuṟuvapoṭi, au sud ouest Peruvātikuṟuva, à l’ouest Pālaguṁṭṭa-Paḍumaṭikaṭṭa, au nord ouest Polakuṁgoṇḍa-Monadurgga-Bhadhavati au nord Maḍapallipaṟṟu, au nord est Cāmiṟeniguṁṭṭa.</w:t>
      </w:r>
    </w:p>
    <w:p>
      <w:pPr>
        <w:pStyle w:val="BodyText"/>
      </w:pPr>
      <w:r>
        <w:rPr>
          <w:rStyle w:val="ColorGray"/>
        </w:rPr>
        <w:t xml:space="preserve">⟨60–61⟩</w:t>
      </w:r>
      <w:r>
        <w:t xml:space="preserve"> </w:t>
      </w:r>
      <w:r>
        <w:t xml:space="preserve">Aucune charge ne doit lui être imposée, celui qui en impose ⟨est lié⟩ aux cinq grands crimes. Ainsi Vyāsa a dit :</w:t>
      </w:r>
    </w:p>
    <w:p>
      <w:pPr>
        <w:pStyle w:val="BodyText"/>
      </w:pPr>
      <w:r>
        <w:t xml:space="preserve">16.</w:t>
      </w:r>
    </w:p>
    <w:p>
      <w:pPr>
        <w:pStyle w:val="BodyText"/>
      </w:pPr>
      <w:r>
        <w:t xml:space="preserve">beaucoup ont donné une terre, beaucoup l’ont protégée, celui qui possède la terre en possède la fruit.</w:t>
      </w:r>
    </w:p>
    <w:p>
      <w:pPr>
        <w:pStyle w:val="BodyText"/>
      </w:pPr>
      <w:r>
        <w:t xml:space="preserve">17.</w:t>
      </w:r>
    </w:p>
    <w:p>
      <w:pPr>
        <w:pStyle w:val="BodyText"/>
      </w:pPr>
      <w:r>
        <w:t xml:space="preserve">Qu’elle soit donnée par lui ou par un autre, celui qui prend une terre renaît ver de terre dans les excréments pendant soixante mille ans.</w:t>
      </w:r>
    </w:p>
    <w:p>
      <w:pPr>
        <w:pStyle w:val="Heading1"/>
      </w:pPr>
      <w:r>
        <w:t xml:space="preserve">Commentary</w:t>
      </w:r>
    </w:p>
    <w:p>
      <w:pPr>
        <w:pStyle w:val="FirstParagraph"/>
      </w:pPr>
      <w:r>
        <w:t xml:space="preserve">According to Naṭeśa Śāstrī, the name of the findspot is transliterated Īḍeru. Hultzsch uses Eḍeru.</w:t>
      </w:r>
    </w:p>
    <w:p>
      <w:pPr>
        <w:pStyle w:val="BodyText"/>
      </w:pPr>
      <w:r>
        <w:t xml:space="preserve">I have classified stanza 7 as an anuṣṭubh, but given the compound anomalies in its metre (an extra syllable in the first pāda and a vipulā template in the third), combined with indications of a fixed pattern, it may instead be an unknown ardhasama metre of 9/8 syllables per line, incorrectly inscribed (or read). The actual prosody of the lines is: --+-+---+ +-++-+-+ -+-++--- --++-+-+ By tentatively emending babhūva rājye to sa babhūva rājya-, we obtain an identical pattern in the odd lines, and the even lines are almost identical to begin with: --+-+---* *-++-+-* A badly composed anuṣṭubh is still most likely, but given that it would have been easy to avoid the hypermetry in the first line (e.g. gajebha-yuddha-kuśalas would be a na-vipulā), I believe it is not the only possibility.</w:t>
      </w:r>
    </w:p>
    <w:p>
      <w:pPr>
        <w:pStyle w:val="BodyText"/>
      </w:pPr>
      <w:r>
        <w:t xml:space="preserve">The first line of stanza 10 (śārdūlavikrīḍita) has a punctuation mark after the caesura. There is also a punctuation mark in 15b (also śārdūlavikrīḍita), but this is not at the caesura.</w:t>
      </w:r>
    </w:p>
    <w:p>
      <w:pPr>
        <w:pStyle w:val="BodyText"/>
      </w:pPr>
      <w:r>
        <w:t xml:space="preserve">The sentence</w:t>
      </w:r>
      <w:r>
        <w:t xml:space="preserve"> </w:t>
      </w:r>
      <w:r>
        <w:rPr>
          <w:i/>
          <w:iCs/>
        </w:rPr>
        <w:t xml:space="preserve">viditam astu vo ’smābhiḥ</w:t>
      </w:r>
      <w:r>
        <w:t xml:space="preserve"> </w:t>
      </w:r>
      <w:r>
        <w:t xml:space="preserve">(ll 54-55) implies that the composer of this grant understood</w:t>
      </w:r>
      <w:r>
        <w:t xml:space="preserve"> </w:t>
      </w:r>
      <w:r>
        <w:rPr>
          <w:i/>
          <w:iCs/>
        </w:rPr>
        <w:t xml:space="preserve">asmābhiḥ</w:t>
      </w:r>
      <w:r>
        <w:t xml:space="preserve"> </w:t>
      </w:r>
      <w:r>
        <w:t xml:space="preserve">in this formula to be the agent of informing, rather than the agent of the donation expressed in the main sentence. If this (mis)conception was widespread, that might explain why in many cases the main sentence includes</w:t>
      </w:r>
      <w:r>
        <w:t xml:space="preserve"> </w:t>
      </w:r>
      <w:r>
        <w:rPr>
          <w:i/>
          <w:iCs/>
        </w:rPr>
        <w:t xml:space="preserve">mayā</w:t>
      </w:r>
      <w:r>
        <w:t xml:space="preserve"> </w:t>
      </w:r>
      <w:r>
        <w:t xml:space="preserve">or another agent, or has a verb in the active, even when</w:t>
      </w:r>
      <w:r>
        <w:t xml:space="preserve"> </w:t>
      </w:r>
      <w:r>
        <w:rPr>
          <w:i/>
          <w:iCs/>
        </w:rPr>
        <w:t xml:space="preserve">asmābhiḥ</w:t>
      </w:r>
      <w:r>
        <w:t xml:space="preserve"> </w:t>
      </w:r>
      <w:r>
        <w:t xml:space="preserve">is present in this formula.</w:t>
      </w:r>
    </w:p>
    <w:p>
      <w:pPr>
        <w:pStyle w:val="BodyText"/>
      </w:pPr>
      <w:r>
        <w:t xml:space="preserve">I think that Hultzsch’s equation of the names in the second list of boundaries to the twelve hamlets mentioned in the donation has much merit. Therefore, in the section on boundaries I follow Hultzsch’s segmentation of the text with spaces. Nonetheless, it is by no means certain that we have exactly twelve names in the second list of boundaries.</w:t>
      </w:r>
    </w:p>
    <w:p>
      <w:pPr>
        <w:pStyle w:val="BodyText"/>
      </w:pPr>
      <w:r>
        <w:rPr>
          <w:rStyle w:val="ColorGray"/>
        </w:rPr>
        <w:t xml:space="preserve">⟨28⟩</w:t>
      </w:r>
      <w:r>
        <w:t xml:space="preserve"> </w:t>
      </w:r>
      <w:r>
        <w:t xml:space="preserve">raṭṭa-dāyāda: According to</w:t>
      </w:r>
      <w:r>
        <w:t xml:space="preserve"> </w:t>
      </w:r>
      <w:hyperlink r:id="rId54">
        <w:r>
          <w:rPr>
            <w:rStyle w:val="Hyperlink"/>
          </w:rPr>
          <w:t xml:space="preserve">Sankaranarayanan 1973</w:t>
        </w:r>
      </w:hyperlink>
      <w:r>
        <w:t xml:space="preserve">, p. 99, n. 1, Hultzsch first took this to mean "army of the Raṭṭa claimants", then corrected it to "the army of (Krishna II) the heir (or son) of the Raṭṭa (i.e. Amoghavarṣa I). The reference for the latter is EI 4 227n. not traced. But based on the Masulipatnam plates of Bhīma I (probably never edited properly, CP No. 1 of 1913-14, apparently cited by several scholars), the dāyādas mean Vēmūlavāḍa Cālukyas, and this compound must be understood as Raṭṭas and (Vēmūlavāḍa Cālukya) kinsmen.</w:t>
      </w:r>
    </w:p>
    <w:p>
      <w:pPr>
        <w:pStyle w:val="Heading1"/>
      </w:pPr>
      <w:r>
        <w:t xml:space="preserve">Bibliography</w:t>
      </w:r>
    </w:p>
    <w:p>
      <w:pPr>
        <w:pStyle w:val="FirstParagraph"/>
      </w:pPr>
      <w:r>
        <w:t xml:space="preserve">Reported in Sewell 1884, p. 25, № 179. Parts cited and translated before publication by J. F. Fleet (1883, p. 218 and 1883, p. 221). First edited, possibly from the original plates, by S. M. Naṭeśa Śāstrī (1884, pp. 50–55, № 1), with a translation, without facsimile. Re-edited from the original plates by E. Hultzsch (1890, pp. 36–43, № 36), with a translation and possibly with estampages.</w:t>
      </w:r>
      <w:r>
        <w:rPr>
          <w:rStyle w:val="FootnoteReference"/>
        </w:rPr>
        <w:footnoteReference w:id="55"/>
      </w:r>
      <w:r>
        <w:t xml:space="preserve"> </w:t>
      </w:r>
      <w:r>
        <w:t xml:space="preserve">Re-reported in</w:t>
      </w:r>
      <w:r>
        <w:t xml:space="preserve"> </w:t>
      </w:r>
      <w:hyperlink r:id="rId56">
        <w:r>
          <w:rPr>
            <w:rStyle w:val="Hyperlink"/>
          </w:rPr>
          <w:t xml:space="preserve">ARIE 1956–57</w:t>
        </w:r>
      </w:hyperlink>
      <w:r>
        <w:t xml:space="preserve">, p. 37, appendix A/1956-57, № 86. The present edition by Dániel Balogh is based on photographs taken by myself in February 2023 at the Government Museum, Chennai, collated with the above editions. Minor inaccuracies in Natesa Sastri’s edition are not recorded in the apparatus here. Metadata associated with this edition have been published separately in Balogh 2026, available on</w:t>
      </w:r>
      <w:r>
        <w:t xml:space="preserve"> </w:t>
      </w:r>
      <w:hyperlink r:id="rId57">
        <w:r>
          <w:rPr>
            <w:rStyle w:val="Hyperlink"/>
          </w:rPr>
          <w:t xml:space="preserve">Zenodo</w:t>
        </w:r>
      </w:hyperlink>
      <w:r>
        <w:t xml:space="preserve">.</w:t>
      </w:r>
    </w:p>
    <w:p>
      <w:pPr>
        <w:pStyle w:val="Heading2"/>
      </w:pPr>
      <w:r>
        <w:t xml:space="preserve">Primary</w:t>
      </w:r>
    </w:p>
    <w:p>
      <w:pPr>
        <w:pStyle w:val="FirstParagraph"/>
      </w:pPr>
      <w:r>
        <w:rPr>
          <w:b/>
          <w:bCs/>
        </w:rPr>
        <w:t xml:space="preserve">[NS]</w:t>
      </w:r>
      <w:r>
        <w:t xml:space="preserve"> </w:t>
      </w:r>
      <w:r>
        <w:t xml:space="preserve">Naṭeśa Śāstrī, S. M. 1884. “Two Eastern Chalukya Copper-Plates.” IA 13, pp. 50–57. Pages 51–55, item 1.</w:t>
      </w:r>
    </w:p>
    <w:p>
      <w:pPr>
        <w:pStyle w:val="BodyText"/>
      </w:pPr>
      <w:r>
        <w:rPr>
          <w:b/>
          <w:bCs/>
        </w:rPr>
        <w:t xml:space="preserve">[EH]</w:t>
      </w:r>
      <w:r>
        <w:t xml:space="preserve"> </w:t>
      </w:r>
      <w:r>
        <w:t xml:space="preserve">Hultzsch, Eugen Julius Theodor. 1890.</w:t>
      </w:r>
      <w:r>
        <w:t xml:space="preserve"> </w:t>
      </w:r>
      <w:r>
        <w:rPr>
          <w:i/>
          <w:iCs/>
        </w:rPr>
        <w:t xml:space="preserve">South-Indian inscriptions, Tamil and Sanskrit, from stone and copper-plate edicts at Mamallapuram, Kanchipuram, in the North Arcot district, and other parts of the Madras Presidency, chiefly collected in 1886-87. Volume I</w:t>
      </w:r>
      <w:r>
        <w:t xml:space="preserve">. South Indian Inscriptions 1. Madras: Government Press. Pages 36–43, item 36.</w:t>
      </w:r>
    </w:p>
    <w:p>
      <w:pPr>
        <w:pStyle w:val="Heading2"/>
      </w:pPr>
      <w:r>
        <w:t xml:space="preserve">Secondary</w:t>
      </w:r>
    </w:p>
    <w:p>
      <w:pPr>
        <w:pStyle w:val="FirstParagraph"/>
      </w:pPr>
      <w:r>
        <w:rPr>
          <w:b/>
          <w:bCs/>
        </w:rPr>
        <w:t xml:space="preserve">[JFF1]</w:t>
      </w:r>
      <w:r>
        <w:t xml:space="preserve"> </w:t>
      </w:r>
      <w:r>
        <w:t xml:space="preserve">Fleet, John Faithfull. 1883. “Sanskrit and Old Canarese inscriptions, no. CXXVIII.” IA 12, pp. 215–220. Page 218.</w:t>
      </w:r>
    </w:p>
    <w:p>
      <w:pPr>
        <w:pStyle w:val="BodyText"/>
      </w:pPr>
      <w:r>
        <w:rPr>
          <w:b/>
          <w:bCs/>
        </w:rPr>
        <w:t xml:space="preserve">[JFF2]</w:t>
      </w:r>
      <w:r>
        <w:t xml:space="preserve"> </w:t>
      </w:r>
      <w:r>
        <w:t xml:space="preserve">Fleet, John Faithfull. 1883. “Sanskrit and Old Canarese inscriptions, no. CXXIX.” IA 12, pp. 220–222. Page 221.</w:t>
      </w:r>
    </w:p>
    <w:p>
      <w:pPr>
        <w:pStyle w:val="BodyText"/>
      </w:pPr>
      <w:r>
        <w:t xml:space="preserve">Sewell, Robert. 1884.</w:t>
      </w:r>
      <w:r>
        <w:t xml:space="preserve"> </w:t>
      </w:r>
      <w:r>
        <w:rPr>
          <w:i/>
          <w:iCs/>
        </w:rPr>
        <w:t xml:space="preserve">List of inscriptions, and sketch of the dynasties of southern India</w:t>
      </w:r>
      <w:r>
        <w:t xml:space="preserve">. Archaeological Survey of Southern India 2. Madras: Government Press. Page 25, item 179.</w:t>
      </w:r>
    </w:p>
    <w:p>
      <w:pPr>
        <w:pStyle w:val="BodyText"/>
      </w:pPr>
      <w:r>
        <w:t xml:space="preserve">Balogh, Dániel. 2026. “Metadata for the DHARMA editions of Veṅgī Cālukya copper plates.” Zenodo. DOI:</w:t>
      </w:r>
      <w:r>
        <w:t xml:space="preserve"> </w:t>
      </w:r>
      <w:hyperlink r:id="rId58">
        <w:r>
          <w:rPr>
            <w:rStyle w:val="Hyperlink"/>
          </w:rPr>
          <w:t xml:space="preserve">10.5281/zenodo.22827003</w:t>
        </w:r>
      </w:hyperlink>
      <w:r>
        <w:t xml:space="preserve">.</w:t>
      </w:r>
      <w:r>
        <w:t xml:space="preserve"> </w:t>
      </w:r>
      <w:hyperlink r:id="rId57">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While this detail is of little ultimate importance, all previous translators construe the plural instrumental</w:t>
      </w:r>
      <w:r>
        <w:t xml:space="preserve"> </w:t>
      </w:r>
      <w:r>
        <w:rPr>
          <w:i/>
          <w:iCs/>
        </w:rPr>
        <w:t xml:space="preserve">naya-vikramaiḥ</w:t>
      </w:r>
      <w:r>
        <w:t xml:space="preserve"> </w:t>
      </w:r>
      <w:r>
        <w:t xml:space="preserve">differently from the way I translate here. Fleet and Naṭeśa Śāstrī take it in apposition to</w:t>
      </w:r>
      <w:r>
        <w:t xml:space="preserve"> </w:t>
      </w:r>
      <w:r>
        <w:rPr>
          <w:i/>
          <w:iCs/>
        </w:rPr>
        <w:t xml:space="preserve">-balais</w:t>
      </w:r>
      <w:r>
        <w:t xml:space="preserve">, so that the Gaṅga and Raṭṭa forces are “possessed of discipline and prowess” (Fleet) or “just and powerful” (Naṭeśa Śāstrī, who may have understood these to be allies of Vijayāditya). Hultzsch’s interpretation is closer to mine: he translates, “by means of polity and valour,” but he comments that the plural must have been used in place of the expected singular due to the exigencies of the metre. I, in turn, see no problem with the plural at all, but simply understand these terms as meaning concrete and countable stratagems and acts of bravado rather than the abstract and uncountable qualities of polity and valour.</w:t>
      </w:r>
    </w:p>
  </w:footnote>
  <w:footnote w:id="17">
    <w:p>
      <w:pPr>
        <w:pStyle w:val="FootnoteText"/>
      </w:pPr>
      <w:r>
        <w:rPr>
          <w:rStyle w:val="FootnoteReference"/>
        </w:rPr>
        <w:footnoteRef/>
      </w:r>
      <w:r>
        <w:t xml:space="preserve"> </w:t>
      </w:r>
      <w:r>
        <w:t xml:space="preserve">Although</w:t>
      </w:r>
      <w:r>
        <w:t xml:space="preserve"> </w:t>
      </w:r>
      <w:r>
        <w:rPr>
          <w:i/>
          <w:iCs/>
        </w:rPr>
        <w:t xml:space="preserve">kali</w:t>
      </w:r>
      <w:r>
        <w:t xml:space="preserve"> </w:t>
      </w:r>
      <w:r>
        <w:t xml:space="preserve">commonly means discord and strife rather than warfare, I believe Hultzsch is right in understanding the word in such a sense here and assuming that this clause is a playful etymology of the king’s forename.</w:t>
      </w:r>
    </w:p>
  </w:footnote>
  <w:footnote w:id="18">
    <w:p>
      <w:pPr>
        <w:pStyle w:val="FootnoteText"/>
      </w:pPr>
      <w:r>
        <w:rPr>
          <w:rStyle w:val="FootnoteReference"/>
        </w:rPr>
        <w:footnoteRef/>
      </w:r>
      <w:r>
        <w:t xml:space="preserve"> </w:t>
      </w:r>
      <w:r>
        <w:t xml:space="preserve">This sentence, stretched across three stanzas and in the original including all of this paragraph of the translation, is awkward on several counts. I believe the intent of the composer was what I translate here. I construe</w:t>
      </w:r>
      <w:r>
        <w:t xml:space="preserve"> </w:t>
      </w:r>
      <w:r>
        <w:rPr>
          <w:i/>
          <w:iCs/>
        </w:rPr>
        <w:t xml:space="preserve">kulonnateḥ</w:t>
      </w:r>
      <w:r>
        <w:t xml:space="preserve"> </w:t>
      </w:r>
      <w:r>
        <w:t xml:space="preserve">as an ablative of cause, disregarding the fact that a dative would be appropriate for expressing purpose; and assume that the phrase</w:t>
      </w:r>
      <w:r>
        <w:t xml:space="preserve"> </w:t>
      </w:r>
      <w:r>
        <w:rPr>
          <w:i/>
          <w:iCs/>
        </w:rPr>
        <w:t xml:space="preserve">naya-vid</w:t>
      </w:r>
      <w:r>
        <w:t xml:space="preserve"> </w:t>
      </w:r>
      <w:r>
        <w:t xml:space="preserve">was iterated not out of poetic incompetence, but with the aim of emphasising that it was this quality of his that elevated him to kingship.</w:t>
      </w:r>
    </w:p>
  </w:footnote>
  <w:footnote w:id="19">
    <w:p>
      <w:pPr>
        <w:pStyle w:val="FootnoteText"/>
      </w:pPr>
      <w:r>
        <w:rPr>
          <w:rStyle w:val="FootnoteReference"/>
        </w:rPr>
        <w:footnoteRef/>
      </w:r>
      <w:r>
        <w:t xml:space="preserve"> </w:t>
      </w:r>
      <w:r>
        <w:t xml:space="preserve">I assume that the word</w:t>
      </w:r>
      <w:r>
        <w:t xml:space="preserve"> </w:t>
      </w:r>
      <w:r>
        <w:rPr>
          <w:i/>
          <w:iCs/>
        </w:rPr>
        <w:t xml:space="preserve">guṇa</w:t>
      </w:r>
      <w:r>
        <w:t xml:space="preserve"> </w:t>
      </w:r>
      <w:r>
        <w:t xml:space="preserve">is used intentionally to hint at Vijayāditya’s byname Guṇaka. Although</w:t>
      </w:r>
      <w:r>
        <w:t xml:space="preserve"> </w:t>
      </w:r>
      <w:r>
        <w:rPr>
          <w:i/>
          <w:iCs/>
        </w:rPr>
        <w:t xml:space="preserve">guṇa</w:t>
      </w:r>
      <w:r>
        <w:t xml:space="preserve"> </w:t>
      </w:r>
      <w:r>
        <w:t xml:space="preserve">does not normally mean “ray,” I believe the poet intended it in this sense for the double entendre. Note also that solar allusions are also present throughout the first part of the stanza, where he defeats his human enemies.</w:t>
      </w:r>
    </w:p>
  </w:footnote>
  <w:footnote w:id="20">
    <w:p>
      <w:pPr>
        <w:pStyle w:val="FootnoteText"/>
      </w:pPr>
      <w:r>
        <w:rPr>
          <w:rStyle w:val="FootnoteReference"/>
        </w:rPr>
        <w:footnoteRef/>
      </w:r>
      <w:r>
        <w:t xml:space="preserve"> </w:t>
      </w:r>
      <w:r>
        <w:t xml:space="preserve">Fleet and Hultzsch understand</w:t>
      </w:r>
      <w:r>
        <w:t xml:space="preserve"> </w:t>
      </w:r>
      <w:r>
        <w:rPr>
          <w:i/>
          <w:iCs/>
        </w:rPr>
        <w:t xml:space="preserve">saṁcodita</w:t>
      </w:r>
      <w:r>
        <w:t xml:space="preserve"> </w:t>
      </w:r>
      <w:r>
        <w:t xml:space="preserve">as “challenged” (to battle), which the language does not exclude. I follow Nilakanta Sastri and Venkataramanayya</w:t>
      </w:r>
      <w:r>
        <w:t xml:space="preserve"> </w:t>
      </w:r>
      <w:hyperlink r:id="rId21">
        <w:r>
          <w:rPr>
            <w:rStyle w:val="Hyperlink"/>
          </w:rPr>
          <w:t xml:space="preserve">Yazdani 1960</w:t>
        </w:r>
      </w:hyperlink>
      <w:r>
        <w:t xml:space="preserve">, vol. 2, p. 478 in the understanding of the events alluded to here, which is based on records not yet known to Fleet and Hultzsch.</w:t>
      </w:r>
    </w:p>
  </w:footnote>
  <w:footnote w:id="22">
    <w:p>
      <w:pPr>
        <w:pStyle w:val="FootnoteText"/>
      </w:pPr>
      <w:r>
        <w:rPr>
          <w:rStyle w:val="FootnoteReference"/>
        </w:rPr>
        <w:footnoteRef/>
      </w:r>
      <w:r>
        <w:t xml:space="preserve"> </w:t>
      </w:r>
      <w:r>
        <w:t xml:space="preserve">Naṭeśa Śāstrī’s translation skips over this phrase, while Fleet understands</w:t>
      </w:r>
      <w:r>
        <w:t xml:space="preserve"> </w:t>
      </w:r>
      <w:r>
        <w:rPr>
          <w:i/>
          <w:iCs/>
        </w:rPr>
        <w:t xml:space="preserve">aryaman</w:t>
      </w:r>
      <w:r>
        <w:t xml:space="preserve"> </w:t>
      </w:r>
      <w:r>
        <w:t xml:space="preserve">to mean “bosom friend.” This is lexically possible and would be another instance of the conventional claim that the king’s sword was his only comrade, as in</w:t>
      </w:r>
      <w:r>
        <w:t xml:space="preserve"> </w:t>
      </w:r>
      <w:r>
        <w:rPr>
          <w:i/>
          <w:iCs/>
        </w:rPr>
        <w:t xml:space="preserve">khaḍga-sahāyo</w:t>
      </w:r>
      <w:r>
        <w:t xml:space="preserve"> </w:t>
      </w:r>
      <w:r>
        <w:t xml:space="preserve">in stanza 2. However, this meaning of</w:t>
      </w:r>
      <w:r>
        <w:t xml:space="preserve"> </w:t>
      </w:r>
      <w:r>
        <w:rPr>
          <w:i/>
          <w:iCs/>
        </w:rPr>
        <w:t xml:space="preserve">aryaman</w:t>
      </w:r>
      <w:r>
        <w:t xml:space="preserve"> </w:t>
      </w:r>
      <w:r>
        <w:t xml:space="preserve">seems to be restricted to Vedic texts, and I therefore agree with Hultzsch in understanding this word, the name of an Āditya, as synonymous to</w:t>
      </w:r>
      <w:r>
        <w:t xml:space="preserve"> </w:t>
      </w:r>
      <w:r>
        <w:rPr>
          <w:i/>
          <w:iCs/>
        </w:rPr>
        <w:t xml:space="preserve">āditya</w:t>
      </w:r>
      <w:r>
        <w:t xml:space="preserve"> </w:t>
      </w:r>
      <w:r>
        <w:t xml:space="preserve">and thus meaning “sun” and alluding to the name Vijayāditya. In support of this interpretation,</w:t>
      </w:r>
      <w:r>
        <w:t xml:space="preserve"> </w:t>
      </w:r>
      <w:r>
        <w:rPr>
          <w:i/>
          <w:iCs/>
        </w:rPr>
        <w:t xml:space="preserve">aryaman</w:t>
      </w:r>
      <w:r>
        <w:t xml:space="preserve"> </w:t>
      </w:r>
      <w:r>
        <w:t xml:space="preserve">unequivocally means “sun” in stanza 12 of the</w:t>
      </w:r>
      <w:r>
        <w:t xml:space="preserve"> </w:t>
      </w:r>
      <w:hyperlink r:id="rId23">
        <w:r>
          <w:rPr>
            <w:rStyle w:val="Hyperlink"/>
          </w:rPr>
          <w:t xml:space="preserve">Moga grant of Bhīma I</w:t>
        </w:r>
      </w:hyperlink>
      <w:r>
        <w:t xml:space="preserve">.</w:t>
      </w:r>
    </w:p>
  </w:footnote>
  <w:footnote w:id="24">
    <w:p>
      <w:pPr>
        <w:pStyle w:val="FootnoteText"/>
      </w:pPr>
      <w:r>
        <w:rPr>
          <w:rStyle w:val="FootnoteReference"/>
        </w:rPr>
        <w:footnoteRef/>
      </w:r>
      <w:r>
        <w:t xml:space="preserve"> </w:t>
      </w:r>
      <w:r>
        <w:t xml:space="preserve">I follow Fleet and Hultzsch’s interpretation of this phrase because a comparison to Śiva is appopriate in the wider context of burning a city. However,</w:t>
      </w:r>
      <w:r>
        <w:t xml:space="preserve"> </w:t>
      </w:r>
      <w:r>
        <w:rPr>
          <w:i/>
          <w:iCs/>
        </w:rPr>
        <w:t xml:space="preserve">aṁgaja</w:t>
      </w:r>
      <w:r>
        <w:t xml:space="preserve"> </w:t>
      </w:r>
      <w:r>
        <w:t xml:space="preserve">is only attested in lexicons in the sense of Kāma, and the immediate context is simply martial prowess. I therefore think there is a chance the composer had something else in mind. To wit,</w:t>
      </w:r>
      <w:r>
        <w:t xml:space="preserve"> </w:t>
      </w:r>
      <w:r>
        <w:rPr>
          <w:i/>
          <w:iCs/>
        </w:rPr>
        <w:t xml:space="preserve">aṁgaja</w:t>
      </w:r>
      <w:r>
        <w:t xml:space="preserve"> </w:t>
      </w:r>
      <w:r>
        <w:t xml:space="preserve">may mean Karṇa who, though he was not in fact born in Aṅga, became the lord of that country in the</w:t>
      </w:r>
      <w:r>
        <w:t xml:space="preserve"> </w:t>
      </w:r>
      <w:r>
        <w:rPr>
          <w:i/>
          <w:iCs/>
        </w:rPr>
        <w:t xml:space="preserve">Mahābhārata</w:t>
      </w:r>
      <w:r>
        <w:t xml:space="preserve">, and thus</w:t>
      </w:r>
      <w:r>
        <w:t xml:space="preserve"> </w:t>
      </w:r>
      <w:r>
        <w:rPr>
          <w:i/>
          <w:iCs/>
        </w:rPr>
        <w:t xml:space="preserve">aṁgaja-vairi</w:t>
      </w:r>
      <w:r>
        <w:t xml:space="preserve"> </w:t>
      </w:r>
      <w:r>
        <w:t xml:space="preserve">may be Arjuna.</w:t>
      </w:r>
    </w:p>
  </w:footnote>
  <w:footnote w:id="25">
    <w:p>
      <w:pPr>
        <w:pStyle w:val="FootnoteText"/>
      </w:pPr>
      <w:r>
        <w:rPr>
          <w:rStyle w:val="FootnoteReference"/>
        </w:rPr>
        <w:footnoteRef/>
      </w:r>
      <w:r>
        <w:t xml:space="preserve"> </w:t>
      </w:r>
      <w:r>
        <w:t xml:space="preserve">This is another phrase that is hard to interpret, especially as regards the meaning of</w:t>
      </w:r>
      <w:r>
        <w:t xml:space="preserve"> </w:t>
      </w:r>
      <w:r>
        <w:rPr>
          <w:i/>
          <w:iCs/>
        </w:rPr>
        <w:t xml:space="preserve">aṁkita</w:t>
      </w:r>
      <w:r>
        <w:t xml:space="preserve"> </w:t>
      </w:r>
      <w:r>
        <w:t xml:space="preserve">and its relation to the rest of the compound. Naṭeśa Śāstrī’s translation is too vague here. Fleet renders the compound as “who was possessed of great and excellent prowess acquired by (his) notorious and perfect strength”, and Hultzsch as “who had gained great and excellent might by his strength, which impressed its mark on the universe,” noting that</w:t>
      </w:r>
      <w:r>
        <w:t xml:space="preserve"> </w:t>
      </w:r>
      <w:r>
        <w:rPr>
          <w:i/>
          <w:iCs/>
        </w:rPr>
        <w:t xml:space="preserve">uru-sad-vikrama</w:t>
      </w:r>
      <w:r>
        <w:t xml:space="preserve"> </w:t>
      </w:r>
      <w:r>
        <w:t xml:space="preserve">is an allusion to Viṣṇu Trivikrama. I find neither “notorious and perfect” nor “impressed its mark on the universe” to be satisfactory translations of</w:t>
      </w:r>
      <w:r>
        <w:t xml:space="preserve"> </w:t>
      </w:r>
      <w:r>
        <w:rPr>
          <w:i/>
          <w:iCs/>
        </w:rPr>
        <w:t xml:space="preserve">aṁkita+akhila</w:t>
      </w:r>
      <w:r>
        <w:t xml:space="preserve"> </w:t>
      </w:r>
      <w:r>
        <w:t xml:space="preserve">and opt for yet another interpretation, but cannot claim that this must be what the composer had in mind.</w:t>
      </w:r>
    </w:p>
  </w:footnote>
  <w:footnote w:id="26">
    <w:p>
      <w:pPr>
        <w:pStyle w:val="FootnoteText"/>
      </w:pPr>
      <w:r>
        <w:rPr>
          <w:rStyle w:val="FootnoteReference"/>
        </w:rPr>
        <w:footnoteRef/>
      </w:r>
      <w:r>
        <w:t xml:space="preserve"> </w:t>
      </w:r>
      <w:r>
        <w:t xml:space="preserve">Kr̥ṣṇa is Kr̥ṣṇa II of the Rāṣṭrakūṭas, and we can now be quite certain that Saṁkila is the Cedi king Śaṅkaragaṇa, though earlier translations either omitted this word or translated it as “firebrand,” a meaning that is attested in lexicons alone and that in my opinion is unlikely to be used figuratively in this Sanskrit sentence even though the English phrase “the fire-brand Kr̥ṣṇa” sounds quite flippant. Incidentally, the fact that this is a name explains the dual in the fourth</w:t>
      </w:r>
      <w:r>
        <w:t xml:space="preserve"> </w:t>
      </w:r>
      <w:r>
        <w:rPr>
          <w:i/>
          <w:iCs/>
        </w:rPr>
        <w:t xml:space="preserve">pāda</w:t>
      </w:r>
      <w:r>
        <w:t xml:space="preserve">; see the apparatus on</w:t>
      </w:r>
      <w:r>
        <w:t xml:space="preserve"> </w:t>
      </w:r>
      <w:r>
        <w:rPr>
          <w:i/>
          <w:iCs/>
        </w:rPr>
        <w:t xml:space="preserve">bhītārttau</w:t>
      </w:r>
      <w:r>
        <w:t xml:space="preserve"> </w:t>
      </w:r>
      <w:r>
        <w:t xml:space="preserve">in line 26. Also compare</w:t>
      </w:r>
      <w:r>
        <w:t xml:space="preserve"> </w:t>
      </w:r>
      <w:r>
        <w:rPr>
          <w:i/>
          <w:iCs/>
        </w:rPr>
        <w:t xml:space="preserve">saṁkilam ugra-vallabha-yutaṁ</w:t>
      </w:r>
      <w:r>
        <w:t xml:space="preserve">, showing beyond doudt that Saṁkilam and the Vallabha are two separate persons, in stanza 3 of the</w:t>
      </w:r>
      <w:r>
        <w:t xml:space="preserve"> </w:t>
      </w:r>
      <w:hyperlink r:id="rId27">
        <w:r>
          <w:rPr>
            <w:rStyle w:val="Hyperlink"/>
          </w:rPr>
          <w:t xml:space="preserve">Maliyapūṇḍi grant of Amma II</w:t>
        </w:r>
      </w:hyperlink>
      <w:r>
        <w:t xml:space="preserve">.</w:t>
      </w:r>
    </w:p>
  </w:footnote>
  <w:footnote w:id="28">
    <w:p>
      <w:pPr>
        <w:pStyle w:val="FootnoteText"/>
      </w:pPr>
      <w:r>
        <w:rPr>
          <w:rStyle w:val="FootnoteReference"/>
        </w:rPr>
        <w:footnoteRef/>
      </w:r>
      <w:r>
        <w:t xml:space="preserve"> </w:t>
      </w:r>
      <w:r>
        <w:t xml:space="preserve">I am not confident in the interpretaion of this term. Hultzsch’s neutral translation “those who gained their livelihood by (carrying) the banner of virtue” does not really reveal who these people may have been. I believe that Naṭeśa Śāstrī’s “religious beggars,” offered without explanation, is closer to the mark. Even closer,</w:t>
      </w:r>
      <w:r>
        <w:t xml:space="preserve"> </w:t>
      </w:r>
      <w:r>
        <w:rPr>
          <w:i/>
          <w:iCs/>
        </w:rPr>
        <w:t xml:space="preserve">dharma-dhvaja</w:t>
      </w:r>
      <w:r>
        <w:t xml:space="preserve"> </w:t>
      </w:r>
      <w:r>
        <w:t xml:space="preserve">may be synonymous to</w:t>
      </w:r>
      <w:r>
        <w:t xml:space="preserve"> </w:t>
      </w:r>
      <w:r>
        <w:rPr>
          <w:i/>
          <w:iCs/>
        </w:rPr>
        <w:t xml:space="preserve">yama-paṭa</w:t>
      </w:r>
      <w:r>
        <w:t xml:space="preserve"> </w:t>
      </w:r>
      <w:r>
        <w:t xml:space="preserve">and these people may have been wandering showmen who exhibited and explained scroll paintings showing scenes of hell. Finally,</w:t>
      </w:r>
      <w:r>
        <w:t xml:space="preserve"> </w:t>
      </w:r>
      <w:r>
        <w:rPr>
          <w:i/>
          <w:iCs/>
        </w:rPr>
        <w:t xml:space="preserve">dharma-dhvaja</w:t>
      </w:r>
      <w:r>
        <w:t xml:space="preserve"> </w:t>
      </w:r>
      <w:r>
        <w:t xml:space="preserve">is actually attested in the sense of an impostor or hypocrite. It is thus possible that this passage is to some degree critical of Bhīma, claiming that he showered gifts on riffraff such as dancers, singers and charlatans. But a similar list of recipients of charity in verse 11 of the</w:t>
      </w:r>
      <w:r>
        <w:t xml:space="preserve"> </w:t>
      </w:r>
      <w:hyperlink r:id="rId29">
        <w:r>
          <w:rPr>
            <w:rStyle w:val="Hyperlink"/>
          </w:rPr>
          <w:t xml:space="preserve">Āruṁbāka grant of Bādapa</w:t>
        </w:r>
      </w:hyperlink>
      <w:r>
        <w:t xml:space="preserve"> </w:t>
      </w:r>
      <w:r>
        <w:t xml:space="preserve">is unambiguously positive, so I find this last option unlikely.</w:t>
      </w:r>
    </w:p>
  </w:footnote>
  <w:footnote w:id="30">
    <w:p>
      <w:pPr>
        <w:pStyle w:val="FootnoteText"/>
      </w:pPr>
      <w:r>
        <w:rPr>
          <w:rStyle w:val="FootnoteReference"/>
        </w:rPr>
        <w:footnoteRef/>
      </w:r>
      <w:r>
        <w:t xml:space="preserve"> </w:t>
      </w:r>
      <w:r>
        <w:t xml:space="preserve">Hultzsch suggests that the “intrinsic enemies” (</w:t>
      </w:r>
      <w:r>
        <w:rPr>
          <w:i/>
          <w:iCs/>
        </w:rPr>
        <w:t xml:space="preserve">ari-vargaṁ nijam</w:t>
      </w:r>
      <w:r>
        <w:t xml:space="preserve">) are probably the</w:t>
      </w:r>
      <w:r>
        <w:t xml:space="preserve"> </w:t>
      </w:r>
      <w:r>
        <w:rPr>
          <w:i/>
          <w:iCs/>
        </w:rPr>
        <w:t xml:space="preserve">ṣaḍvarga</w:t>
      </w:r>
      <w:r>
        <w:t xml:space="preserve"> </w:t>
      </w:r>
      <w:r>
        <w:t xml:space="preserve">of psychological enemies. This is definitely possible, but enemies external to the mind, and internal only to the kingdom, i.e. rival claimants to the throne, seem more likely to me.</w:t>
      </w:r>
    </w:p>
  </w:footnote>
  <w:footnote w:id="31">
    <w:p>
      <w:pPr>
        <w:pStyle w:val="FootnoteText"/>
      </w:pPr>
      <w:r>
        <w:rPr>
          <w:rStyle w:val="FootnoteReference"/>
        </w:rPr>
        <w:footnoteRef/>
      </w:r>
      <w:r>
        <w:t xml:space="preserve"> </w:t>
      </w:r>
      <w:r>
        <w:t xml:space="preserve">I interpret and translate the last quarter of the stanza tentatively. Hultzsch, probably analysing into words slightly differently, translates, “who longed for (another) kingdom, and who had obtained glory, went to Indra, in order to conquer one equal half (of Indra’s throne).”</w:t>
      </w:r>
    </w:p>
  </w:footnote>
  <w:footnote w:id="32">
    <w:p>
      <w:pPr>
        <w:pStyle w:val="FootnoteText"/>
      </w:pPr>
      <w:r>
        <w:rPr>
          <w:rStyle w:val="FootnoteReference"/>
        </w:rPr>
        <w:footnoteRef/>
      </w:r>
      <w:r>
        <w:t xml:space="preserve"> </w:t>
      </w:r>
      <w:r>
        <w:t xml:space="preserve">The simile is obscure and complicated by a problematic reading. Given the text’s awkwardness, a double entendre was probably intended by the poet. I follow Hultzsch in assuming that Añjana was conceived as the name of Yama’s elephant, though as he observes, this is normally the name of Varuṇa’s elephant. It also seems that one of the bitextual words applies to Bhaṇḍanāditya on the primary level, but to the elephant, rather than Yama, on the secondary one. Another possible layer of meaning in</w:t>
      </w:r>
      <w:r>
        <w:t xml:space="preserve"> </w:t>
      </w:r>
      <w:r>
        <w:rPr>
          <w:i/>
          <w:iCs/>
        </w:rPr>
        <w:t xml:space="preserve">ujjvala-gaṇḍāṅkaṁ</w:t>
      </w:r>
      <w:r>
        <w:t xml:space="preserve"> </w:t>
      </w:r>
      <w:r>
        <w:t xml:space="preserve">as applied to Bhaṇḍanāditya is “possessing the illustrious epithet Gaṇḍa, ‘champion’”.</w:t>
      </w:r>
    </w:p>
  </w:footnote>
  <w:footnote w:id="33">
    <w:p>
      <w:pPr>
        <w:pStyle w:val="FootnoteText"/>
      </w:pPr>
      <w:r>
        <w:rPr>
          <w:rStyle w:val="FootnoteReference"/>
        </w:rPr>
        <w:footnoteRef/>
      </w:r>
      <w:r>
        <w:t xml:space="preserve"> </w:t>
      </w:r>
      <w:r>
        <w:t xml:space="preserve">This sentence is incomplete and should normally appear at the beginning of the current passage. Given that the text of that passage also includes the agent</w:t>
      </w:r>
      <w:r>
        <w:t xml:space="preserve"> </w:t>
      </w:r>
      <w:r>
        <w:rPr>
          <w:i/>
          <w:iCs/>
        </w:rPr>
        <w:t xml:space="preserve">asmābhiḥ</w:t>
      </w:r>
      <w:r>
        <w:t xml:space="preserve">, the presence of this fragment here may be a simple copyist’s mistake, but see also the commentary.</w:t>
      </w:r>
    </w:p>
  </w:footnote>
  <w:footnote w:id="34">
    <w:p>
      <w:pPr>
        <w:pStyle w:val="FootnoteText"/>
      </w:pPr>
      <w:r>
        <w:rPr>
          <w:rStyle w:val="FootnoteReference"/>
        </w:rPr>
        <w:footnoteRef/>
      </w:r>
      <w:r>
        <w:t xml:space="preserve"> </w:t>
      </w:r>
      <w:r>
        <w:t xml:space="preserve">The interpretation of this sentence and the segmentation of the following list is not quite certain. I believe that the places in the first list indicated boundaries outside the donated land, while the names in this list are fields or villages surrounding the core settlement Goṁṭūru. These are specifically declared to be included in the donated tract, and are probably identical to the twelve hamlets mentioned above. See also the commentary.</w:t>
      </w:r>
    </w:p>
  </w:footnote>
  <w:footnote w:id="35">
    <w:p>
      <w:pPr>
        <w:pStyle w:val="FootnoteText"/>
      </w:pPr>
      <w:r>
        <w:rPr>
          <w:rStyle w:val="FootnoteReference"/>
        </w:rPr>
        <w:footnoteRef/>
      </w:r>
      <w:r>
        <w:t xml:space="preserve"> </w:t>
      </w:r>
      <w:r>
        <w:t xml:space="preserve">According to Naṭeśa Śāstrī,</w:t>
      </w:r>
      <w:r>
        <w:t xml:space="preserve"> </w:t>
      </w:r>
      <w:r>
        <w:rPr>
          <w:i/>
          <w:iCs/>
        </w:rPr>
        <w:t xml:space="preserve">pālaguṁṭṭa-paḍumaṭikaṭṭa</w:t>
      </w:r>
      <w:r>
        <w:t xml:space="preserve"> </w:t>
      </w:r>
      <w:r>
        <w:t xml:space="preserve">means “The western bund of the tank of pālaguṁṭṭa.”</w:t>
      </w:r>
    </w:p>
  </w:footnote>
  <w:footnote w:id="37">
    <w:p>
      <w:pPr>
        <w:pStyle w:val="FootnoteText"/>
      </w:pPr>
      <w:r>
        <w:rPr>
          <w:rStyle w:val="FootnoteReference"/>
        </w:rPr>
        <w:footnoteRef/>
      </w:r>
      <w:r>
        <w:t xml:space="preserve"> </w:t>
      </w:r>
      <w:r>
        <w:t xml:space="preserve">Ce passage apparaît dans le</w:t>
      </w:r>
      <w:r>
        <w:t xml:space="preserve"> </w:t>
      </w:r>
      <w:r>
        <w:rPr>
          <w:i/>
          <w:iCs/>
        </w:rPr>
        <w:t xml:space="preserve">pāda</w:t>
      </w:r>
      <w:r>
        <w:t xml:space="preserve"> </w:t>
      </w:r>
      <w:r>
        <w:t xml:space="preserve">a de la strophe 3.</w:t>
      </w:r>
    </w:p>
  </w:footnote>
  <w:footnote w:id="38">
    <w:p>
      <w:pPr>
        <w:pStyle w:val="FootnoteText"/>
      </w:pPr>
      <w:r>
        <w:rPr>
          <w:rStyle w:val="FootnoteReference"/>
        </w:rPr>
        <w:footnoteRef/>
      </w:r>
      <w:r>
        <w:t xml:space="preserve"> </w:t>
      </w:r>
      <w:r>
        <w:t xml:space="preserve">Hultzsh suggère que la désinence de nayavikramaiḥ est due à des nécessités métriques. Mais à cette place du mètre la quantité est indifférente. Ce pluriel peut aussi suggérer qu’il s’agit d’un composé bahuvrīhi qualifiant gaṁgga-ratta-balais, même si la syntaxe exige davantage un duel. Nous suivons cette hypothèse.</w:t>
      </w:r>
    </w:p>
  </w:footnote>
  <w:footnote w:id="39">
    <w:p>
      <w:pPr>
        <w:pStyle w:val="FootnoteText"/>
      </w:pPr>
      <w:r>
        <w:rPr>
          <w:rStyle w:val="FootnoteReference"/>
        </w:rPr>
        <w:footnoteRef/>
      </w:r>
      <w:r>
        <w:t xml:space="preserve"> </w:t>
      </w:r>
      <w:r>
        <w:t xml:space="preserve">Il s’agit du roi Kaliyarttyaṁka dont le nom complet apparaît dans la strophe 13. Le double « l » est dû à la semi voyelle « y » :</w:t>
      </w:r>
      <w:r>
        <w:t xml:space="preserve"> </w:t>
      </w:r>
      <w:r>
        <w:rPr>
          <w:i/>
          <w:iCs/>
        </w:rPr>
        <w:t xml:space="preserve">kallyādiḥ</w:t>
      </w:r>
      <w:r>
        <w:t xml:space="preserve">.</w:t>
      </w:r>
    </w:p>
  </w:footnote>
  <w:footnote w:id="40">
    <w:p>
      <w:pPr>
        <w:pStyle w:val="FootnoteText"/>
      </w:pPr>
      <w:r>
        <w:rPr>
          <w:rStyle w:val="FootnoteReference"/>
        </w:rPr>
        <w:footnoteRef/>
      </w:r>
      <w:r>
        <w:t xml:space="preserve"> </w:t>
      </w:r>
      <w:r>
        <w:t xml:space="preserve">Glose du biruda Kaliyarttyaṁka.</w:t>
      </w:r>
    </w:p>
  </w:footnote>
  <w:footnote w:id="41">
    <w:p>
      <w:pPr>
        <w:pStyle w:val="FootnoteText"/>
      </w:pPr>
      <w:r>
        <w:rPr>
          <w:rStyle w:val="FootnoteReference"/>
        </w:rPr>
        <w:footnoteRef/>
      </w:r>
      <w:r>
        <w:t xml:space="preserve"> </w:t>
      </w:r>
      <w:r>
        <w:t xml:space="preserve">Allusion aux composants de la royauté,</w:t>
      </w:r>
      <w:r>
        <w:t xml:space="preserve"> </w:t>
      </w:r>
      <w:r>
        <w:rPr>
          <w:i/>
          <w:iCs/>
        </w:rPr>
        <w:t xml:space="preserve">prakr̥ti</w:t>
      </w:r>
      <w:r>
        <w:t xml:space="preserve">, dans lesquels figure l’armée,</w:t>
      </w:r>
      <w:r>
        <w:t xml:space="preserve"> </w:t>
      </w:r>
      <w:r>
        <w:rPr>
          <w:i/>
          <w:iCs/>
        </w:rPr>
        <w:t xml:space="preserve">bala</w:t>
      </w:r>
      <w:r>
        <w:t xml:space="preserve">. (</w:t>
      </w:r>
      <w:r>
        <w:rPr>
          <w:i/>
          <w:iCs/>
        </w:rPr>
        <w:t xml:space="preserve">Arthaṣāstra</w:t>
      </w:r>
      <w:r>
        <w:t xml:space="preserve">, 6,1,1)</w:t>
      </w:r>
    </w:p>
  </w:footnote>
  <w:footnote w:id="42">
    <w:p>
      <w:pPr>
        <w:pStyle w:val="FootnoteText"/>
      </w:pPr>
      <w:r>
        <w:rPr>
          <w:rStyle w:val="FootnoteReference"/>
        </w:rPr>
        <w:footnoteRef/>
      </w:r>
      <w:r>
        <w:t xml:space="preserve"> </w:t>
      </w:r>
      <w:r>
        <w:t xml:space="preserve">Kāma</w:t>
      </w:r>
    </w:p>
  </w:footnote>
  <w:footnote w:id="43">
    <w:p>
      <w:pPr>
        <w:pStyle w:val="FootnoteText"/>
      </w:pPr>
      <w:r>
        <w:rPr>
          <w:rStyle w:val="FootnoteReference"/>
        </w:rPr>
        <w:footnoteRef/>
      </w:r>
      <w:r>
        <w:t xml:space="preserve"> </w:t>
      </w:r>
      <w:r>
        <w:t xml:space="preserve">synonyme du</w:t>
      </w:r>
      <w:r>
        <w:t xml:space="preserve"> </w:t>
      </w:r>
      <w:r>
        <w:rPr>
          <w:i/>
          <w:iCs/>
        </w:rPr>
        <w:t xml:space="preserve">biruda</w:t>
      </w:r>
      <w:r>
        <w:t xml:space="preserve"> </w:t>
      </w:r>
      <w:r>
        <w:rPr>
          <w:i/>
          <w:iCs/>
        </w:rPr>
        <w:t xml:space="preserve">vikramāditya</w:t>
      </w:r>
      <w:r>
        <w:t xml:space="preserve">.</w:t>
      </w:r>
    </w:p>
  </w:footnote>
  <w:footnote w:id="44">
    <w:p>
      <w:pPr>
        <w:pStyle w:val="FootnoteText"/>
      </w:pPr>
      <w:r>
        <w:rPr>
          <w:rStyle w:val="FootnoteReference"/>
        </w:rPr>
        <w:footnoteRef/>
      </w:r>
      <w:r>
        <w:t xml:space="preserve"> </w:t>
      </w:r>
      <w:r>
        <w:t xml:space="preserve">Il est aussi question de ce personnage dans les insc. nos 32, str.5 ; 35, str.2 ; 41.</w:t>
      </w:r>
    </w:p>
  </w:footnote>
  <w:footnote w:id="45">
    <w:p>
      <w:pPr>
        <w:pStyle w:val="FootnoteText"/>
      </w:pPr>
      <w:r>
        <w:rPr>
          <w:rStyle w:val="FootnoteReference"/>
        </w:rPr>
        <w:footnoteRef/>
      </w:r>
      <w:r>
        <w:t xml:space="preserve"> </w:t>
      </w:r>
      <w:r>
        <w:t xml:space="preserve">allusions aux jaïns digambara.</w:t>
      </w:r>
    </w:p>
  </w:footnote>
  <w:footnote w:id="46">
    <w:p>
      <w:pPr>
        <w:pStyle w:val="FootnoteText"/>
      </w:pPr>
      <w:r>
        <w:rPr>
          <w:rStyle w:val="FootnoteReference"/>
        </w:rPr>
        <w:footnoteRef/>
      </w:r>
      <w:r>
        <w:t xml:space="preserve"> </w:t>
      </w:r>
      <w:r>
        <w:t xml:space="preserve">id est : les moines et ascètes errants.</w:t>
      </w:r>
    </w:p>
  </w:footnote>
  <w:footnote w:id="47">
    <w:p>
      <w:pPr>
        <w:pStyle w:val="FootnoteText"/>
      </w:pPr>
      <w:r>
        <w:rPr>
          <w:rStyle w:val="FootnoteReference"/>
        </w:rPr>
        <w:footnoteRef/>
      </w:r>
      <w:r>
        <w:t xml:space="preserve"> </w:t>
      </w:r>
      <w:r>
        <w:t xml:space="preserve">Indra.</w:t>
      </w:r>
    </w:p>
  </w:footnote>
  <w:footnote w:id="48">
    <w:p>
      <w:pPr>
        <w:pStyle w:val="FootnoteText"/>
      </w:pPr>
      <w:r>
        <w:rPr>
          <w:rStyle w:val="FootnoteReference"/>
        </w:rPr>
        <w:footnoteRef/>
      </w:r>
      <w:r>
        <w:t xml:space="preserve"> </w:t>
      </w:r>
      <w:r>
        <w:t xml:space="preserve">Les trois pouvoirs constitutifs de la royauté :</w:t>
      </w:r>
      <w:r>
        <w:t xml:space="preserve"> </w:t>
      </w:r>
      <w:r>
        <w:rPr>
          <w:i/>
          <w:iCs/>
        </w:rPr>
        <w:t xml:space="preserve">utsāha</w:t>
      </w:r>
      <w:r>
        <w:t xml:space="preserve">,</w:t>
      </w:r>
      <w:r>
        <w:t xml:space="preserve"> </w:t>
      </w:r>
      <w:r>
        <w:rPr>
          <w:i/>
          <w:iCs/>
        </w:rPr>
        <w:t xml:space="preserve">prabhū</w:t>
      </w:r>
      <w:r>
        <w:t xml:space="preserve">,</w:t>
      </w:r>
      <w:r>
        <w:t xml:space="preserve"> </w:t>
      </w:r>
      <w:r>
        <w:rPr>
          <w:i/>
          <w:iCs/>
        </w:rPr>
        <w:t xml:space="preserve">mantri</w:t>
      </w:r>
      <w:r>
        <w:t xml:space="preserve"> </w:t>
      </w:r>
      <w:r>
        <w:t xml:space="preserve">⟨</w:t>
      </w:r>
      <w:r>
        <w:rPr>
          <w:i/>
          <w:iCs/>
        </w:rPr>
        <w:t xml:space="preserve">Arthaśāstra</w:t>
      </w:r>
      <w:r>
        <w:t xml:space="preserve">, 6, 2, 33⟩. Expression similaire plus bas :</w:t>
      </w:r>
      <w:r>
        <w:t xml:space="preserve"> </w:t>
      </w:r>
      <w:r>
        <w:rPr>
          <w:i/>
          <w:iCs/>
        </w:rPr>
        <w:t xml:space="preserve">śakti-traya-saṁpanna°</w:t>
      </w:r>
      <w:r>
        <w:t xml:space="preserve">.</w:t>
      </w:r>
    </w:p>
  </w:footnote>
  <w:footnote w:id="49">
    <w:p>
      <w:pPr>
        <w:pStyle w:val="FootnoteText"/>
      </w:pPr>
      <w:r>
        <w:rPr>
          <w:rStyle w:val="FootnoteReference"/>
        </w:rPr>
        <w:footnoteRef/>
      </w:r>
      <w:r>
        <w:t xml:space="preserve"> </w:t>
      </w:r>
      <w:r>
        <w:t xml:space="preserve">Allusion aux composants de la royauté, prakr̥ti, dans lesquels figure l’armée, bala. ⟨</w:t>
      </w:r>
      <w:r>
        <w:rPr>
          <w:i/>
          <w:iCs/>
        </w:rPr>
        <w:t xml:space="preserve">Arthaṣāstra</w:t>
      </w:r>
      <w:r>
        <w:t xml:space="preserve">, 6,1,1⟩ Cf. strophe 9 de cette inscription.</w:t>
      </w:r>
    </w:p>
  </w:footnote>
  <w:footnote w:id="50">
    <w:p>
      <w:pPr>
        <w:pStyle w:val="FootnoteText"/>
      </w:pPr>
      <w:r>
        <w:rPr>
          <w:rStyle w:val="FootnoteReference"/>
        </w:rPr>
        <w:footnoteRef/>
      </w:r>
      <w:r>
        <w:t xml:space="preserve"> </w:t>
      </w:r>
      <w:r>
        <w:t xml:space="preserve">Arthaśāstra 6, 2, 33. Cf. note supra.</w:t>
      </w:r>
    </w:p>
  </w:footnote>
  <w:footnote w:id="51">
    <w:p>
      <w:pPr>
        <w:pStyle w:val="FootnoteText"/>
      </w:pPr>
      <w:r>
        <w:rPr>
          <w:rStyle w:val="FootnoteReference"/>
        </w:rPr>
        <w:footnoteRef/>
      </w:r>
      <w:r>
        <w:t xml:space="preserve"> </w:t>
      </w:r>
      <w:r>
        <w:t xml:space="preserve">Br̥haspati.</w:t>
      </w:r>
    </w:p>
  </w:footnote>
  <w:footnote w:id="52">
    <w:p>
      <w:pPr>
        <w:pStyle w:val="FootnoteText"/>
      </w:pPr>
      <w:r>
        <w:rPr>
          <w:rStyle w:val="FootnoteReference"/>
        </w:rPr>
        <w:footnoteRef/>
      </w:r>
      <w:r>
        <w:t xml:space="preserve"> </w:t>
      </w:r>
      <w:r>
        <w:t xml:space="preserve">Cette formule apparaît d’habitude au début de l’énonciation de la donation. Le second</w:t>
      </w:r>
      <w:r>
        <w:t xml:space="preserve"> </w:t>
      </w:r>
      <w:r>
        <w:rPr>
          <w:i/>
          <w:iCs/>
        </w:rPr>
        <w:t xml:space="preserve">asmābhiḥ</w:t>
      </w:r>
      <w:r>
        <w:t xml:space="preserve"> </w:t>
      </w:r>
      <w:r>
        <w:t xml:space="preserve">est une faute induite par l’entraînement de la séquence usuelle</w:t>
      </w:r>
      <w:r>
        <w:t xml:space="preserve"> </w:t>
      </w:r>
      <w:r>
        <w:rPr>
          <w:i/>
          <w:iCs/>
        </w:rPr>
        <w:t xml:space="preserve">viditam astu vo’smābhiḥ.</w:t>
      </w:r>
    </w:p>
  </w:footnote>
  <w:footnote w:id="53">
    <w:p>
      <w:pPr>
        <w:pStyle w:val="FootnoteText"/>
      </w:pPr>
      <w:r>
        <w:rPr>
          <w:rStyle w:val="FootnoteReference"/>
        </w:rPr>
        <w:footnoteRef/>
      </w:r>
      <w:r>
        <w:t xml:space="preserve"> </w:t>
      </w:r>
      <w:r>
        <w:t xml:space="preserve">des hameaux.</w:t>
      </w:r>
    </w:p>
  </w:footnote>
  <w:footnote w:id="55">
    <w:p>
      <w:pPr>
        <w:pStyle w:val="FootnoteText"/>
      </w:pPr>
      <w:r>
        <w:rPr>
          <w:rStyle w:val="FootnoteReference"/>
        </w:rPr>
        <w:footnoteRef/>
      </w:r>
      <w:r>
        <w:t xml:space="preserve"> </w:t>
      </w:r>
      <w:r>
        <w:t xml:space="preserve">PEM lists this edition as containing a facsimile, but my scan of SII 1 has no plates at all.</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56" Target="https://dharmalekha.info/bibliography/entry/ARIE1956-1957" TargetMode="External" /><Relationship Type="http://schemas.openxmlformats.org/officeDocument/2006/relationships/hyperlink" Id="rId36" Target="https://dharmalekha.info/bibliography/entry/EstienneMonod2008_01" TargetMode="External" /><Relationship Type="http://schemas.openxmlformats.org/officeDocument/2006/relationships/hyperlink" Id="rId54" Target="https://dharmalekha.info/bibliography/entry/Sankaranarayanan1973_01" TargetMode="External" /><Relationship Type="http://schemas.openxmlformats.org/officeDocument/2006/relationships/hyperlink" Id="rId21" Target="https://dharmalekha.info/bibliography/entry/Yazdani1960_01" TargetMode="External" /><Relationship Type="http://schemas.openxmlformats.org/officeDocument/2006/relationships/hyperlink" Id="rId12" Target="https://dharmalekha.info/prosody#prosody-101" TargetMode="External" /><Relationship Type="http://schemas.openxmlformats.org/officeDocument/2006/relationships/hyperlink" Id="rId13" Target="https://dharmalekha.info/prosody#prosody-115" TargetMode="External" /><Relationship Type="http://schemas.openxmlformats.org/officeDocument/2006/relationships/hyperlink" Id="rId14" Target="https://dharmalekha.info/prosody#prosody-129" TargetMode="External" /><Relationship Type="http://schemas.openxmlformats.org/officeDocument/2006/relationships/hyperlink" Id="rId9" Target="https://dharmalekha.info/prosody#prosody-169" TargetMode="External" /><Relationship Type="http://schemas.openxmlformats.org/officeDocument/2006/relationships/hyperlink" Id="rId11" Target="https://dharmalekha.info/prosody#prosody-48" TargetMode="External" /><Relationship Type="http://schemas.openxmlformats.org/officeDocument/2006/relationships/hyperlink" Id="rId10" Target="https://dharmalekha.info/prosody#prosody-91" TargetMode="External" /><Relationship Type="http://schemas.openxmlformats.org/officeDocument/2006/relationships/hyperlink" Id="rId23" Target="https://dharmalekha.info/texts/INSVengiCalukya00026" TargetMode="External" /><Relationship Type="http://schemas.openxmlformats.org/officeDocument/2006/relationships/hyperlink" Id="rId29" Target="https://dharmalekha.info/texts/INSVengiCalukya00030" TargetMode="External" /><Relationship Type="http://schemas.openxmlformats.org/officeDocument/2006/relationships/hyperlink" Id="rId27" Target="https://dharmalekha.info/texts/INSVengiCalukya00038" TargetMode="External" /><Relationship Type="http://schemas.openxmlformats.org/officeDocument/2006/relationships/hyperlink" Id="rId15" Target="https://dharmalekha.info/texts/INSVengiCalukya00040" TargetMode="External" /><Relationship Type="http://schemas.openxmlformats.org/officeDocument/2006/relationships/hyperlink" Id="rId58" Target="https://doi.org/10.5281/zenodo.22827003" TargetMode="External" /><Relationship Type="http://schemas.openxmlformats.org/officeDocument/2006/relationships/hyperlink" Id="rId57"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56" Target="https://dharmalekha.info/bibliography/entry/ARIE1956-1957" TargetMode="External" /><Relationship Type="http://schemas.openxmlformats.org/officeDocument/2006/relationships/hyperlink" Id="rId36" Target="https://dharmalekha.info/bibliography/entry/EstienneMonod2008_01" TargetMode="External" /><Relationship Type="http://schemas.openxmlformats.org/officeDocument/2006/relationships/hyperlink" Id="rId54" Target="https://dharmalekha.info/bibliography/entry/Sankaranarayanan1973_01" TargetMode="External" /><Relationship Type="http://schemas.openxmlformats.org/officeDocument/2006/relationships/hyperlink" Id="rId21" Target="https://dharmalekha.info/bibliography/entry/Yazdani1960_01" TargetMode="External" /><Relationship Type="http://schemas.openxmlformats.org/officeDocument/2006/relationships/hyperlink" Id="rId12" Target="https://dharmalekha.info/prosody#prosody-101" TargetMode="External" /><Relationship Type="http://schemas.openxmlformats.org/officeDocument/2006/relationships/hyperlink" Id="rId13" Target="https://dharmalekha.info/prosody#prosody-115" TargetMode="External" /><Relationship Type="http://schemas.openxmlformats.org/officeDocument/2006/relationships/hyperlink" Id="rId14" Target="https://dharmalekha.info/prosody#prosody-129" TargetMode="External" /><Relationship Type="http://schemas.openxmlformats.org/officeDocument/2006/relationships/hyperlink" Id="rId9" Target="https://dharmalekha.info/prosody#prosody-169" TargetMode="External" /><Relationship Type="http://schemas.openxmlformats.org/officeDocument/2006/relationships/hyperlink" Id="rId11" Target="https://dharmalekha.info/prosody#prosody-48" TargetMode="External" /><Relationship Type="http://schemas.openxmlformats.org/officeDocument/2006/relationships/hyperlink" Id="rId10" Target="https://dharmalekha.info/prosody#prosody-91" TargetMode="External" /><Relationship Type="http://schemas.openxmlformats.org/officeDocument/2006/relationships/hyperlink" Id="rId23" Target="https://dharmalekha.info/texts/INSVengiCalukya00026" TargetMode="External" /><Relationship Type="http://schemas.openxmlformats.org/officeDocument/2006/relationships/hyperlink" Id="rId29" Target="https://dharmalekha.info/texts/INSVengiCalukya00030" TargetMode="External" /><Relationship Type="http://schemas.openxmlformats.org/officeDocument/2006/relationships/hyperlink" Id="rId27" Target="https://dharmalekha.info/texts/INSVengiCalukya00038" TargetMode="External" /><Relationship Type="http://schemas.openxmlformats.org/officeDocument/2006/relationships/hyperlink" Id="rId15" Target="https://dharmalekha.info/texts/INSVengiCalukya00040" TargetMode="External" /><Relationship Type="http://schemas.openxmlformats.org/officeDocument/2006/relationships/hyperlink" Id="rId58" Target="https://doi.org/10.5281/zenodo.22827003" TargetMode="External" /><Relationship Type="http://schemas.openxmlformats.org/officeDocument/2006/relationships/hyperlink" Id="rId57"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Eḍeru plates of Amma I</dc:title>
  <dc:creator>Dániel Balogh</dc:creator>
  <cp:keywords/>
  <dcterms:created xsi:type="dcterms:W3CDTF">2026-10-15T14:17:44Z</dcterms:created>
  <dcterms:modified xsi:type="dcterms:W3CDTF">2026-10-15T14:17:44Z</dcterms:modified>
</cp:coreProperties>
</file>

<file path=docProps/custom.xml><?xml version="1.0" encoding="utf-8"?>
<Properties xmlns="http://schemas.openxmlformats.org/officeDocument/2006/custom-properties" xmlns:vt="http://schemas.openxmlformats.org/officeDocument/2006/docPropsVTypes"/>
</file>