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Tiruvāvaṭutuṟai, Gomuktīśvara temple, time of Parakesarivarman, year 38</w:t>
      </w:r>
    </w:p>
    <w:p>
      <w:pPr>
        <w:pStyle w:val="Author"/>
      </w:pPr>
      <w:r>
        <w:t xml:space="preserve">Renato Dávalos, Emmanuel Francis, N. Ramaswamy and Margherita Trento</w:t>
      </w:r>
    </w:p>
    <w:p>
      <w:pPr>
        <w:pStyle w:val="FirstParagraph"/>
      </w:pPr>
      <w:r>
        <w:t xml:space="preserve">Authors of digital edition: Renato Dávalos, Emmanuel Francis, N. Ramaswamy, Margherita Trento</w:t>
      </w:r>
    </w:p>
    <w:p>
      <w:pPr>
        <w:pStyle w:val="BodyText"/>
      </w:pPr>
      <w:r>
        <w:t xml:space="preserve">Identifier: DHARMA_INSTiruvavatuturai10142</w:t>
      </w:r>
    </w:p>
    <w:p>
      <w:pPr>
        <w:pStyle w:val="BodyText"/>
      </w:pPr>
      <w:r>
        <w:t xml:space="preserve">Repository: Tiruvāvaṭutuṟai (tfa-tiruvavatuturai-epigraphy)</w:t>
      </w:r>
    </w:p>
    <w:p>
      <w:pPr>
        <w:pStyle w:val="BodyText"/>
      </w:pPr>
      <w:r>
        <w:t xml:space="preserve">File path: DHARMA_INSTiruvavatuturai10142.xml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2026-10-18 14:25 (53e5dee), last modified 2026-09-29 11:10 (f06f6c9)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Land donation, that is, remission of taxes by provision of gold for tax payment, by Tirukkaṟṟaḷi Piccar to the god (</w:t>
      </w:r>
      <w:r>
        <w:rPr>
          <w:i/>
          <w:iCs/>
        </w:rPr>
        <w:t xml:space="preserve">deva</w:t>
      </w:r>
      <w:r>
        <w:t xml:space="preserve">) of Tiruvāvaṭutuṟai.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pPr>
        <w:pStyle w:val="BodyText"/>
      </w:pPr>
      <w:r>
        <w:t xml:space="preserve">Medial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ī</w:t>
      </w:r>
      <w:r>
        <w:t xml:space="preserve"> </w:t>
      </w:r>
      <w:r>
        <w:t xml:space="preserve">interchangeable.</w:t>
      </w:r>
    </w:p>
    <w:p>
      <w:pPr>
        <w:pStyle w:val="BodyText"/>
      </w:pPr>
      <w:r>
        <w:t xml:space="preserve">The letter</w:t>
      </w:r>
      <w:r>
        <w:t xml:space="preserve"> </w:t>
      </w:r>
      <w:r>
        <w:rPr>
          <w:i/>
          <w:iCs/>
        </w:rPr>
        <w:t xml:space="preserve">ṉ</w:t>
      </w:r>
      <w:r>
        <w:t xml:space="preserve"> </w:t>
      </w:r>
      <w:r>
        <w:t xml:space="preserve">looks like</w:t>
      </w:r>
      <w:r>
        <w:t xml:space="preserve"> </w:t>
      </w:r>
      <w:r>
        <w:rPr>
          <w:i/>
          <w:iCs/>
        </w:rPr>
        <w:t xml:space="preserve">ḷ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⟨Zone 1: Wall⟩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mat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⟨u⟩</w:t>
      </w:r>
      <w:r>
        <w:t xml:space="preserve">rai koṇṭa kō-p-para-kēcari</w:t>
      </w:r>
      <w:r>
        <w:rPr>
          <w:rStyle w:val="ColorGray"/>
        </w:rPr>
        <w:t xml:space="preserve">⟨2⟩</w:t>
      </w:r>
      <w:r>
        <w:t xml:space="preserve">-paṉmaṟkku yāṇṭu muppatt’ eṭṭ-āva</w:t>
      </w:r>
      <w:r>
        <w:rPr>
          <w:rStyle w:val="ColorGray"/>
        </w:rPr>
        <w:t xml:space="preserve">⟨3⟩</w:t>
      </w:r>
      <w:r>
        <w:t xml:space="preserve">tu</w:t>
      </w:r>
    </w:p>
    <w:p>
      <w:pPr>
        <w:pStyle w:val="BodyText"/>
      </w:pPr>
      <w:r>
        <w:t xml:space="preserve">teṉ-karai-t tiru-vaḻuntūr-nāṭṭu</w:t>
      </w:r>
      <w:r>
        <w:t xml:space="preserve"> </w:t>
      </w:r>
      <w:r>
        <w:rPr>
          <w:b/>
          <w:bCs/>
        </w:rPr>
        <w:t xml:space="preserve">brahma</w:t>
      </w:r>
      <w:r>
        <w:rPr>
          <w:rStyle w:val="ColorGray"/>
        </w:rPr>
        <w:t xml:space="preserve">⟨4⟩</w:t>
      </w:r>
      <w:r>
        <w:rPr>
          <w:b/>
          <w:bCs/>
        </w:rPr>
        <w:t xml:space="preserve">de</w:t>
      </w:r>
      <w:r>
        <w:t xml:space="preserve">yam ciṟṟāṉaiccūr</w:t>
      </w:r>
      <w:r>
        <w:t xml:space="preserve"> </w:t>
      </w:r>
      <w:r>
        <w:rPr>
          <w:b/>
          <w:bCs/>
        </w:rPr>
        <w:t xml:space="preserve">sabhai</w:t>
      </w:r>
      <w:r>
        <w:t xml:space="preserve">yōm</w:t>
      </w:r>
      <w:r>
        <w:t xml:space="preserve"> </w:t>
      </w:r>
      <w:r>
        <w:rPr>
          <w:b/>
          <w:bCs/>
        </w:rPr>
        <w:t xml:space="preserve">śrī</w:t>
      </w:r>
      <w:r>
        <w:t xml:space="preserve">-ti</w:t>
      </w:r>
      <w:r>
        <w:rPr>
          <w:rStyle w:val="ColorGray"/>
        </w:rPr>
        <w:t xml:space="preserve">⟨5⟩</w:t>
      </w:r>
      <w:r>
        <w:t xml:space="preserve">ru-v-āvaṭu-tuṟai tiru-k-kaṟṟaḷi-p-piccar iṭai</w:t>
      </w:r>
      <w:r>
        <w:rPr>
          <w:rStyle w:val="ColorGray"/>
        </w:rPr>
        <w:t xml:space="preserve">⟨6⟩</w:t>
      </w:r>
      <w:r>
        <w:t xml:space="preserve">-p poṉ koṇṭu</w:t>
      </w:r>
      <w:r>
        <w:t xml:space="preserve"> </w:t>
      </w:r>
      <w:r>
        <w:rPr>
          <w:b/>
          <w:bCs/>
        </w:rPr>
        <w:t xml:space="preserve">śrī</w:t>
      </w:r>
      <w:r>
        <w:t xml:space="preserve">-tiru-v-āvaṭu-tuṟai</w:t>
      </w:r>
      <w:r>
        <w:t xml:space="preserve"> </w:t>
      </w:r>
      <w:r>
        <w:rPr>
          <w:b/>
          <w:bCs/>
        </w:rPr>
        <w:t xml:space="preserve">de</w:t>
      </w:r>
      <w:r>
        <w:t xml:space="preserve">va</w:t>
      </w:r>
      <w:r>
        <w:rPr>
          <w:rStyle w:val="ColorGray"/>
        </w:rPr>
        <w:t xml:space="preserve">⟨7⟩</w:t>
      </w:r>
      <w:r>
        <w:t xml:space="preserve">rkku Iṟai kāt(tu)-[k] (ku)ṭukkum n[i](la)ttuk’ el</w:t>
      </w:r>
      <w:r>
        <w:rPr>
          <w:rStyle w:val="ColorGray"/>
        </w:rPr>
        <w:t xml:space="preserve">⟨8⟩</w:t>
      </w:r>
      <w:r>
        <w:t xml:space="preserve">lai</w:t>
      </w:r>
    </w:p>
    <w:p>
      <w:pPr>
        <w:pStyle w:val="FirstParagraph"/>
        <w:numPr>
          <w:ilvl w:val="0"/>
          <w:numId w:val="1001"/>
        </w:numPr>
      </w:pPr>
      <w:r>
        <w:t xml:space="preserve">vāṇiyaṉ peru-(va)ḻikku mēṟkkum</w:t>
      </w:r>
    </w:p>
    <w:p>
      <w:pPr>
        <w:pStyle w:val="FirstParagraph"/>
        <w:numPr>
          <w:ilvl w:val="0"/>
          <w:numId w:val="1001"/>
        </w:numPr>
      </w:pPr>
      <w:r>
        <w:t xml:space="preserve">teṉ-pā</w:t>
      </w:r>
      <w:r>
        <w:rPr>
          <w:rStyle w:val="ColorGray"/>
        </w:rPr>
        <w:t xml:space="preserve">⟨9⟩</w:t>
      </w:r>
      <w:r>
        <w:t xml:space="preserve">ṟk’ ellai vaḻi-(va)rampukku vaṭakkum</w:t>
      </w:r>
    </w:p>
    <w:p>
      <w:pPr>
        <w:pStyle w:val="FirstParagraph"/>
        <w:numPr>
          <w:ilvl w:val="0"/>
          <w:numId w:val="1001"/>
        </w:numPr>
      </w:pPr>
      <w:r>
        <w:t xml:space="preserve">mēl</w:t>
      </w:r>
      <w:r>
        <w:rPr>
          <w:rStyle w:val="ColorGray"/>
        </w:rPr>
        <w:t xml:space="preserve">⟨10⟩</w:t>
      </w:r>
      <w:r>
        <w:t xml:space="preserve">-pāṟk’ ellai Uṭ[ci]ṟu-vāy-k-kālukku-k kiḻak</w:t>
      </w:r>
      <w:r>
        <w:rPr>
          <w:rStyle w:val="ColorGray"/>
        </w:rPr>
        <w:t xml:space="preserve">⟨11⟩</w:t>
      </w:r>
      <w:r>
        <w:t xml:space="preserve">kum</w:t>
      </w:r>
    </w:p>
    <w:p>
      <w:pPr>
        <w:pStyle w:val="FirstParagraph"/>
        <w:numPr>
          <w:ilvl w:val="0"/>
          <w:numId w:val="1001"/>
        </w:numPr>
      </w:pPr>
      <w:r>
        <w:t xml:space="preserve">vata-pāṟk’ ellai Iluppai-c-ceykku te</w:t>
      </w:r>
      <w:r>
        <w:rPr>
          <w:rStyle w:val="ColorGray"/>
        </w:rPr>
        <w:t xml:space="preserve">⟨12⟩</w:t>
      </w:r>
      <w:r>
        <w:t xml:space="preserve">ṟkum</w:t>
      </w:r>
    </w:p>
    <w:p>
      <w:pPr>
        <w:pStyle w:val="FirstParagraph"/>
      </w:pPr>
      <w:r>
        <w:t xml:space="preserve">Iṉ-ṉāṉk’ ellaiyilum Aka-p-paṭ</w:t>
      </w:r>
      <w:r>
        <w:rPr>
          <w:rStyle w:val="ColorGray"/>
        </w:rPr>
        <w:t xml:space="preserve">⟨13⟩</w:t>
      </w:r>
      <w:r>
        <w:t xml:space="preserve">ṭa nilam kālum</w:t>
      </w:r>
    </w:p>
    <w:p>
      <w:pPr>
        <w:pStyle w:val="BodyText"/>
      </w:pPr>
      <w:r>
        <w:t xml:space="preserve">[mu]tta-caṅkara-māṟaṉ iṭai vi</w:t>
      </w:r>
      <w:r>
        <w:rPr>
          <w:rStyle w:val="ColorGray"/>
        </w:rPr>
        <w:t xml:space="preserve">⟨14⟩</w:t>
      </w:r>
      <w:r>
        <w:t xml:space="preserve">lai koṇṭa nilatukk’ ellai</w:t>
      </w:r>
    </w:p>
    <w:p>
      <w:pPr>
        <w:pStyle w:val="FirstParagraph"/>
        <w:numPr>
          <w:ilvl w:val="0"/>
          <w:numId w:val="1002"/>
        </w:numPr>
      </w:pPr>
      <w:r>
        <w:t xml:space="preserve">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ḻ-pāṟ</w:t>
      </w:r>
      <w:r>
        <w:rPr>
          <w:rStyle w:val="ColorGray"/>
        </w:rPr>
        <w:t xml:space="preserve">⟨15⟩</w:t>
      </w:r>
      <w:r>
        <w:t xml:space="preserve">k’ ellai tāyaṉ kāṭaṉ</w:t>
      </w:r>
      <w:r>
        <w:t xml:space="preserve"> </w:t>
      </w:r>
      <w:r>
        <w:rPr>
          <w:b/>
          <w:bCs/>
        </w:rPr>
        <w:t xml:space="preserve">de</w:t>
      </w:r>
      <w:r>
        <w:t xml:space="preserve">varkku vilai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koṇṭa nilattukku [mē](ṟkum)</w:t>
      </w:r>
    </w:p>
    <w:p>
      <w:pPr>
        <w:pStyle w:val="FirstParagraph"/>
        <w:numPr>
          <w:ilvl w:val="0"/>
          <w:numId w:val="1002"/>
        </w:numPr>
      </w:pPr>
      <w:r>
        <w:t xml:space="preserve">te(ṉ)-pārk’ e</w:t>
      </w:r>
      <w:r>
        <w:rPr>
          <w:rStyle w:val="ColorGray"/>
        </w:rPr>
        <w:t xml:space="preserve">⟨17⟩</w:t>
      </w:r>
      <w:r>
        <w:t xml:space="preserve">llai vaḻi-varampukku vaṭakkum</w:t>
      </w:r>
    </w:p>
    <w:p>
      <w:pPr>
        <w:pStyle w:val="FirstParagraph"/>
        <w:numPr>
          <w:ilvl w:val="0"/>
          <w:numId w:val="1002"/>
        </w:numPr>
      </w:pPr>
      <w:r>
        <w:t xml:space="preserve">mēl-pāṟk’ e</w:t>
      </w:r>
      <w:r>
        <w:rPr>
          <w:rStyle w:val="ColorGray"/>
        </w:rPr>
        <w:t xml:space="preserve">⟨18⟩</w:t>
      </w:r>
      <w:r>
        <w:t xml:space="preserve">llai Uṭciṟu-vāy-k-kālukku-k kiḻakkum</w:t>
      </w:r>
    </w:p>
    <w:p>
      <w:pPr>
        <w:pStyle w:val="FirstParagraph"/>
        <w:numPr>
          <w:ilvl w:val="0"/>
          <w:numId w:val="1002"/>
        </w:numPr>
      </w:pPr>
      <w:r>
        <w:t xml:space="preserve">vaṭa</w:t>
      </w:r>
      <w:r>
        <w:rPr>
          <w:rStyle w:val="ColorGray"/>
        </w:rPr>
        <w:t xml:space="preserve">⟨19⟩</w:t>
      </w:r>
      <w:r>
        <w:t xml:space="preserve">-pāṟk’ ellai kaṭampaṉ vāy-k-kālukku-t te</w:t>
      </w:r>
      <w:r>
        <w:rPr>
          <w:rStyle w:val="ColorGray"/>
        </w:rPr>
        <w:t xml:space="preserve">⟨20⟩</w:t>
      </w:r>
      <w:r>
        <w:t xml:space="preserve">ṟkum</w:t>
      </w:r>
    </w:p>
    <w:p>
      <w:pPr>
        <w:pStyle w:val="FirstParagraph"/>
      </w:pPr>
      <w:r>
        <w:t xml:space="preserve">Iṉ-ṉāṉk’ ellaiyilum Aka-p-paṭṭa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nilam mu-m-mā v-araiyum mēṟ-pulattu Oru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māvum Āka Oṉpatu mā v-araiyum vācalil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pō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ta kuṭimai Ūr (iṭu) vari-[p]-(pāṭu)m ceṉṉ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r-ve</w:t>
      </w:r>
      <w:r>
        <w:rPr>
          <w:rStyle w:val="ColorGray"/>
        </w:rPr>
        <w:t xml:space="preserve">⟨24⟩</w:t>
      </w:r>
      <w:r>
        <w:t xml:space="preserve">(ṭṭ)iyum</w:t>
      </w:r>
      <w:r>
        <w:t xml:space="preserve"> </w:t>
      </w:r>
      <w:r>
        <w:rPr>
          <w:b/>
          <w:bCs/>
        </w:rPr>
        <w:t xml:space="preserve">candrādi</w:t>
      </w:r>
      <w:r>
        <w:t xml:space="preserve">t=ta-val Iṟai kāttu-k kuṭup</w:t>
      </w:r>
      <w:r>
        <w:rPr>
          <w:rStyle w:val="ColorGray"/>
        </w:rPr>
        <w:t xml:space="preserve">⟨25⟩</w:t>
      </w:r>
      <w:r>
        <w:t xml:space="preserve">pōm ā(y) kallil veṭṭi-k kuṭuttōm ciṟṟā</w:t>
      </w:r>
      <w:r>
        <w:rPr>
          <w:rStyle w:val="ColorGray"/>
        </w:rPr>
        <w:t xml:space="preserve">⟨26⟩</w:t>
      </w:r>
      <w:r>
        <w:t xml:space="preserve">ṉ(ai)ccū(r)</w:t>
      </w:r>
      <w:r>
        <w:t xml:space="preserve"> </w:t>
      </w:r>
      <w:r>
        <w:rPr>
          <w:b/>
          <w:bCs/>
        </w:rPr>
        <w:t xml:space="preserve">(sa)bhai</w:t>
      </w:r>
      <w:r>
        <w:t xml:space="preserve">yōm</w:t>
      </w:r>
    </w:p>
    <w:p>
      <w:pPr>
        <w:pStyle w:val="BodyText"/>
      </w:pPr>
      <w:r>
        <w:t xml:space="preserve">I</w:t>
      </w:r>
      <w:r>
        <w:rPr>
          <w:rStyle w:val="ColorMagenta"/>
        </w:rPr>
        <w:t xml:space="preserve">¡ṉ-ṉ!</w:t>
      </w:r>
      <w:r>
        <w:rPr>
          <w:rStyle w:val="ColorBlue"/>
        </w:rPr>
        <w:t xml:space="preserve">⟨n-n⟩</w:t>
      </w:r>
      <w:r>
        <w:t xml:space="preserve">ilattil Eṇ 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(v-a)raiyu [1+] mām pāttiyil (A)rai māvum Iraṇ</w:t>
      </w:r>
      <w:r>
        <w:rPr>
          <w:rStyle w:val="ColorGray"/>
        </w:rPr>
        <w:t xml:space="preserve">⟨28⟩</w:t>
      </w:r>
      <w:r>
        <w:t xml:space="preserve">(ṭu) [ca. 3+] ti Arai-k kāṟ cey [na](n=t)[ā](va)ṉam tiru-t</w:t>
      </w:r>
      <w:r>
        <w:rPr>
          <w:rStyle w:val="ColorGray"/>
        </w:rPr>
        <w:t xml:space="preserve">⟨29⟩</w:t>
      </w:r>
      <w:r>
        <w:t xml:space="preserve">tuṟai It-tiru-Uvaccakaḷuk(ku)</w:t>
      </w:r>
      <w:r>
        <w:t xml:space="preserve"> </w:t>
      </w:r>
      <w:r>
        <w:rPr>
          <w:b/>
          <w:bCs/>
        </w:rPr>
        <w:t xml:space="preserve">(can)</w:t>
      </w:r>
      <w:r>
        <w:rPr>
          <w:rStyle w:val="ColorMagenta"/>
          <w:b/>
          <w:bCs/>
        </w:rPr>
        <w:t xml:space="preserve">¡(t)!</w:t>
      </w:r>
      <w:r>
        <w:rPr>
          <w:rStyle w:val="ColorBlue"/>
          <w:b/>
          <w:bCs/>
        </w:rPr>
        <w:t xml:space="preserve">⟨(d)⟩</w:t>
      </w:r>
      <w:r>
        <w:rPr>
          <w:b/>
          <w:bCs/>
        </w:rPr>
        <w:t xml:space="preserve">(r)</w:t>
      </w:r>
      <w:r>
        <w:rPr>
          <w:b/>
          <w:bCs/>
        </w:rPr>
        <w:t xml:space="preserve">āditya</w:t>
      </w:r>
      <w:r>
        <w:t xml:space="preserve">-vaṟ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⟨Zone 2: Base⟩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nivan=tam ceytu kuṭuttēṉ kaṟṟaḷi-p-pi</w:t>
      </w:r>
      <w:r>
        <w:rPr>
          <w:rStyle w:val="ColorGray"/>
        </w:rPr>
        <w:t xml:space="preserve">⟨31⟩</w:t>
      </w:r>
      <w:r>
        <w:t xml:space="preserve">caṉ-ēṉ</w:t>
      </w:r>
    </w:p>
    <w:p>
      <w:pPr>
        <w:pStyle w:val="BodyText"/>
      </w:pPr>
      <w:r>
        <w:t xml:space="preserve">Itu</w:t>
      </w:r>
      <w:r>
        <w:t xml:space="preserve"> </w:t>
      </w:r>
      <w:r>
        <w:rPr>
          <w:b/>
          <w:bCs/>
        </w:rPr>
        <w:t xml:space="preserve">panmāheśvara-rakṣai</w:t>
      </w:r>
      <w:r>
        <w:t xml:space="preserve"> </w:t>
      </w:r>
      <w:r>
        <w:t xml:space="preserve">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⟨7⟩</w:t>
      </w:r>
      <w:r>
        <w:t xml:space="preserve"> </w:t>
      </w:r>
      <w:r>
        <w:t xml:space="preserve">Iṟai kāt(tu)[k] (ku)ṭukkum • Compare</w:t>
      </w:r>
      <w:r>
        <w:t xml:space="preserve"> </w:t>
      </w:r>
      <w:r>
        <w:rPr>
          <w:i/>
          <w:iCs/>
        </w:rPr>
        <w:t xml:space="preserve">Iṟai kāttuk kuṭuppōm</w:t>
      </w:r>
      <w:r>
        <w:t xml:space="preserve"> </w:t>
      </w:r>
      <w:r>
        <w:t xml:space="preserve">(lines 24-25).</w:t>
      </w:r>
    </w:p>
    <w:p>
      <w:pPr>
        <w:pStyle w:val="BodyText"/>
      </w:pPr>
      <w:r>
        <w:rPr>
          <w:rStyle w:val="ColorGray"/>
        </w:rPr>
        <w:t xml:space="preserve">⟨22⟩</w:t>
      </w:r>
      <w:r>
        <w:t xml:space="preserve"> </w:t>
      </w:r>
      <w:r>
        <w:t xml:space="preserve">vācalil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pō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ta kuṭimai Ūr (iṭu) vari[p](pāṭu)m • Compare</w:t>
      </w:r>
      <w:r>
        <w:t xml:space="preserve"> </w:t>
      </w:r>
      <w:r>
        <w:rPr>
          <w:i/>
          <w:iCs/>
        </w:rPr>
        <w:t xml:space="preserve">vācalil pōn=ta kuṭimaiyum Ūr iṭu varippāṭum</w:t>
      </w:r>
      <w:r>
        <w:t xml:space="preserve"> </w:t>
      </w:r>
      <w:r>
        <w:t xml:space="preserve">(ARIE/1924-1925/B/1925/112).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Thirty-eighth year of the king Parakesarivarman, who took Maturai.</w:t>
      </w:r>
    </w:p>
    <w:p>
      <w:pPr>
        <w:pStyle w:val="BodyText"/>
      </w:pPr>
      <w:r>
        <w:rPr>
          <w:rStyle w:val="ColorGray"/>
        </w:rPr>
        <w:t xml:space="preserve">⟨3–12⟩</w:t>
      </w:r>
      <w:r>
        <w:t xml:space="preserve"> </w:t>
      </w:r>
      <w:r>
        <w:t xml:space="preserve">The boundaries of the land, which, we, the members of the assembly of Ciṟṟāṉaiccūr, a</w:t>
      </w:r>
      <w:r>
        <w:t xml:space="preserve"> </w:t>
      </w:r>
      <w:r>
        <w:rPr>
          <w:i/>
          <w:iCs/>
        </w:rPr>
        <w:t xml:space="preserve">brahmadeya</w:t>
      </w:r>
      <w:r>
        <w:t xml:space="preserve"> </w:t>
      </w:r>
      <w:r>
        <w:t xml:space="preserve">in the Tiraivaḻuntūrnāṭu on the southern bank give, taking care of the tax money (</w:t>
      </w:r>
      <w:r>
        <w:rPr>
          <w:i/>
          <w:iCs/>
        </w:rPr>
        <w:t xml:space="preserve">iṟaik kāṭṭu</w:t>
      </w:r>
      <w:r>
        <w:t xml:space="preserve">), after receiving gold from Tirukkaṟṟaḷi Piccar of the glorious Tiruvāvaṭutuṟai, for the god of the glorious Tiruvāvaṭutuṟai ⟨are as follows⟩:</w:t>
      </w:r>
    </w:p>
    <w:p>
      <w:pPr>
        <w:pStyle w:val="FirstParagraph"/>
        <w:numPr>
          <w:ilvl w:val="0"/>
          <w:numId w:val="1003"/>
        </w:numPr>
      </w:pPr>
      <w:r>
        <w:t xml:space="preserve">⟨the eastern boundary is⟩ west of … of the main road Vāṇiyaṉ;</w:t>
      </w:r>
    </w:p>
    <w:p>
      <w:pPr>
        <w:pStyle w:val="FirstParagraph"/>
        <w:numPr>
          <w:ilvl w:val="0"/>
          <w:numId w:val="1003"/>
        </w:numPr>
      </w:pPr>
      <w:r>
        <w:t xml:space="preserve">the southern boundary ⟨is⟩ north of …;</w:t>
      </w:r>
    </w:p>
    <w:p>
      <w:pPr>
        <w:pStyle w:val="FirstParagraph"/>
        <w:numPr>
          <w:ilvl w:val="0"/>
          <w:numId w:val="1003"/>
        </w:numPr>
      </w:pPr>
      <w:r>
        <w:t xml:space="preserve">the western boundary ⟨is⟩ east of …;</w:t>
      </w:r>
    </w:p>
    <w:p>
      <w:pPr>
        <w:pStyle w:val="FirstParagraph"/>
        <w:numPr>
          <w:ilvl w:val="0"/>
          <w:numId w:val="1003"/>
        </w:numPr>
      </w:pPr>
      <w:r>
        <w:t xml:space="preserve">the northern boundary ⟨is⟩ south of Iluppaiceykku.</w:t>
      </w:r>
    </w:p>
    <w:p>
      <w:pPr>
        <w:pStyle w:val="FirstParagraph"/>
      </w:pPr>
      <w:r>
        <w:rPr>
          <w:rStyle w:val="ColorGray"/>
        </w:rPr>
        <w:t xml:space="preserve">⟨12–13⟩</w:t>
      </w:r>
      <w:r>
        <w:t xml:space="preserve"> </w:t>
      </w:r>
      <w:r>
        <w:t xml:space="preserve">The land comprised between these four boundaries ⟨amounts to⟩ a quarter ⟨</w:t>
      </w:r>
      <w:r>
        <w:rPr>
          <w:i/>
          <w:iCs/>
        </w:rPr>
        <w:t xml:space="preserve">vēli</w:t>
      </w:r>
      <w:r>
        <w:t xml:space="preserve">⟩.</w:t>
      </w:r>
    </w:p>
    <w:p>
      <w:pPr>
        <w:pStyle w:val="BodyText"/>
      </w:pPr>
      <w:r>
        <w:rPr>
          <w:rStyle w:val="ColorGray"/>
        </w:rPr>
        <w:t xml:space="preserve">⟨13–20⟩</w:t>
      </w:r>
      <w:r>
        <w:t xml:space="preserve"> </w:t>
      </w:r>
      <w:r>
        <w:t xml:space="preserve">The boundaries of the land got after sale/purchase from Mutta Caṅkara Māṟāṉ ⟨are as follows⟩:</w:t>
      </w:r>
    </w:p>
    <w:p>
      <w:pPr>
        <w:pStyle w:val="FirstParagraph"/>
        <w:numPr>
          <w:ilvl w:val="0"/>
          <w:numId w:val="1004"/>
        </w:numPr>
      </w:pPr>
      <w:r>
        <w:t xml:space="preserve">the eastern boundary ⟨is⟩ west of …;</w:t>
      </w:r>
    </w:p>
    <w:p>
      <w:pPr>
        <w:pStyle w:val="FirstParagraph"/>
        <w:numPr>
          <w:ilvl w:val="0"/>
          <w:numId w:val="1004"/>
        </w:numPr>
      </w:pPr>
      <w:r>
        <w:t xml:space="preserve">the southern boundary ⟨is⟩ north of ….;</w:t>
      </w:r>
    </w:p>
    <w:p>
      <w:pPr>
        <w:pStyle w:val="FirstParagraph"/>
        <w:numPr>
          <w:ilvl w:val="0"/>
          <w:numId w:val="1004"/>
        </w:numPr>
      </w:pPr>
      <w:r>
        <w:t xml:space="preserve">the western boundary ⟨is⟩ east of …;</w:t>
      </w:r>
    </w:p>
    <w:p>
      <w:pPr>
        <w:pStyle w:val="FirstParagraph"/>
        <w:numPr>
          <w:ilvl w:val="0"/>
          <w:numId w:val="1004"/>
        </w:numPr>
      </w:pPr>
      <w:r>
        <w:t xml:space="preserve">the northern boundary ⟨is⟩ south of the Katampaṉ channel.</w:t>
      </w:r>
    </w:p>
    <w:p>
      <w:pPr>
        <w:pStyle w:val="FirstParagraph"/>
      </w:pPr>
      <w:r>
        <w:rPr>
          <w:rStyle w:val="ColorGray"/>
        </w:rPr>
        <w:t xml:space="preserve">⟨20–26⟩</w:t>
      </w:r>
      <w:r>
        <w:t xml:space="preserve"> </w:t>
      </w:r>
      <w:r>
        <w:t xml:space="preserve">The land comprised between these four boundaries, that is, …, we, the members of the assembly of Ciṟṟāṉaiccūr, being those who give (</w:t>
      </w:r>
      <w:r>
        <w:rPr>
          <w:i/>
          <w:iCs/>
        </w:rPr>
        <w:t xml:space="preserve">kuṭuppōm</w:t>
      </w:r>
      <w:r>
        <w:t xml:space="preserve">), taking care of the tax money, as long as the moon and the sun, we have given (</w:t>
      </w:r>
      <w:r>
        <w:rPr>
          <w:i/>
          <w:iCs/>
        </w:rPr>
        <w:t xml:space="preserve">kuṭuttōm</w:t>
      </w:r>
      <w:r>
        <w:t xml:space="preserve">) ⟨it⟩, having engraved ⟨this agreement⟩ on stone</w:t>
      </w:r>
      <w:r>
        <w:rPr>
          <w:rStyle w:val="FootnoteReference"/>
        </w:rPr>
        <w:footnoteReference w:id="9"/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⟨26–29⟩</w:t>
      </w:r>
      <w:r>
        <w:t xml:space="preserve"> </w:t>
      </w:r>
      <w:r>
        <w:t xml:space="preserve">From this land, …, for the glorious drummers, I, Tirukkaṟṟaḷi Piccaṉ, have given …, after making a binding agreement, as long as the moon and the sun.</w:t>
      </w:r>
    </w:p>
    <w:p>
      <w:pPr>
        <w:pStyle w:val="BodyText"/>
      </w:pPr>
      <w:r>
        <w:rPr>
          <w:rStyle w:val="ColorGray"/>
        </w:rPr>
        <w:t xml:space="preserve">⟨29⟩</w:t>
      </w:r>
      <w:r>
        <w:t xml:space="preserve"> </w:t>
      </w:r>
      <w:r>
        <w:t xml:space="preserve">This ⟨is under⟩ the protection of the many Māheśvaras.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1924–25 (ARIE/1924-1925/B/1925/142).</w:t>
      </w:r>
    </w:p>
    <w:p>
      <w:pPr>
        <w:pStyle w:val="BodyText"/>
      </w:pPr>
      <w:r>
        <w:t xml:space="preserve">This edition by Renato Davalos, Emmanuel Francis, Babu N. Ramaswamy, and Margherita Trento, based on photos (EFEO, 2006; E. Francis, 2024; M. Trento, 2024) and autopsy (2024).</w:t>
      </w:r>
    </w:p>
    <w:p>
      <w:pPr>
        <w:pStyle w:val="BodyText"/>
      </w:pPr>
      <w:r>
        <w:t xml:space="preserve">ASI transcript and estampage, if any, yet to be consulted.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1924–25.</w:t>
      </w:r>
      <w:r>
        <w:t xml:space="preserve"> </w:t>
      </w:r>
      <w:r>
        <w:rPr>
          <w:i/>
          <w:iCs/>
        </w:rPr>
        <w:t xml:space="preserve">Annual report on South-Indian epigraphy for the year ending 31st March 1925</w:t>
      </w:r>
      <w:r>
        <w:t xml:space="preserve">. Edited by G. Venkoba Rao. Calcutta: Government Press, 1926. Page 28, appendix B/1925, item 141.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having this record engraved on stone.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Tiruvāvaṭutuṟai, Gomuktīśvara temple, time of Parakesarivarman, year 38</dc:title>
  <dc:creator>Renato Dávalos, Emmanuel Francis, N. Ramaswamy and Margherita Trento</dc:creator>
  <cp:keywords/>
  <dcterms:created xsi:type="dcterms:W3CDTF">2026-10-26T22:08:37Z</dcterms:created>
  <dcterms:modified xsi:type="dcterms:W3CDTF">2026-10-26T22:08:37Z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