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Eṟṟaguḍipāḍu grant of Kuṇḍikāḷḷu during the reign of Erikalmutturājullu</w:t>
      </w:r>
    </w:p>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DHARMA_INSTelugu00008</w:t>
      </w:r>
    </w:p>
    <w:p>
      <w:pPr>
        <w:pStyle w:val="BodyText"/>
      </w:pPr>
      <w:r>
        <w:t xml:space="preserve">Repository: Telugu Inscriptions (tfb-telugu-epigraphy)</w:t>
      </w:r>
    </w:p>
    <w:p>
      <w:pPr>
        <w:pStyle w:val="BodyText"/>
      </w:pPr>
      <w:r>
        <w:t xml:space="preserve">File path: texts/DHARMA_INSTelugu00008.xml</w:t>
      </w:r>
    </w:p>
    <w:p>
      <w:pPr>
        <w:pStyle w:val="BodyText"/>
      </w:pPr>
      <w:r>
        <w:t xml:space="preserve">Language: Telugu [Script (unspecified)]</w:t>
      </w:r>
    </w:p>
    <w:p>
      <w:pPr>
        <w:pStyle w:val="BodyText"/>
      </w:pPr>
      <w:r>
        <w:t xml:space="preserve">Commit: 2026-09-09 14:31 (ea24452), last modified 2026-09-09 14:25 (0ba7051)</w:t>
      </w:r>
    </w:p>
    <w:p>
      <w:pPr>
        <w:pStyle w:val="Heading1"/>
      </w:pPr>
      <w:r>
        <w:t xml:space="preserve">Summary</w:t>
      </w:r>
    </w:p>
    <w:p>
      <w:pPr>
        <w:pStyle w:val="FirstParagraph"/>
      </w:pPr>
      <w:r>
        <w:t xml:space="preserve">The inscription mentiones a pannasa given at the instance of (the) Kuṇḍikāḷḷu of Śrī Erikalmutturājullu to the Brahmin of the residence. The witnesses are mentioned.</w:t>
      </w:r>
    </w:p>
    <w:p>
      <w:r>
        <w:pict>
          <v:rect style="width:0;height:1.5pt" o:hralign="center" o:hrstd="t" o:hr="t"/>
        </w:pict>
      </w:r>
    </w:p>
    <w:p>
      <w:pPr>
        <w:pStyle w:val="Heading1"/>
      </w:pPr>
      <w:r>
        <w:t xml:space="preserve">Edition</w:t>
      </w:r>
    </w:p>
    <w:p>
      <w:pPr>
        <w:pStyle w:val="FirstParagraph"/>
      </w:pPr>
      <w:r>
        <w:rPr>
          <w:rStyle w:val="ColorGray"/>
        </w:rPr>
        <w:t xml:space="preserve">⟨Faces A⟩</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 Erika</w:t>
      </w:r>
      <w:r>
        <w:rPr>
          <w:rStyle w:val="ColorGray"/>
        </w:rPr>
        <w:t xml:space="preserve">⟨2⟩</w:t>
      </w:r>
      <w:r>
        <w:t xml:space="preserve">lmutturājulla</w:t>
      </w:r>
      <w:r>
        <w:rPr>
          <w:rStyle w:val="ColorGray"/>
        </w:rPr>
        <w:t xml:space="preserve"> </w:t>
      </w:r>
      <w:r>
        <w:rPr>
          <w:rStyle w:val="ColorGray"/>
        </w:rPr>
        <w:t xml:space="preserve">⟨3⟩</w:t>
      </w:r>
      <w:r>
        <w:rPr>
          <w:rStyle w:val="ColorGray"/>
        </w:rPr>
        <w:t xml:space="preserve"> </w:t>
      </w:r>
      <w:r>
        <w:t xml:space="preserve">kuṇḍikāḷḷu (n)ivabuka</w:t>
      </w:r>
      <w:r>
        <w:rPr>
          <w:rStyle w:val="ColorGray"/>
        </w:rPr>
        <w:t xml:space="preserve">⟨4⟩</w:t>
      </w:r>
      <w:r>
        <w:t xml:space="preserve">nu Iccina pannasa</w:t>
      </w:r>
      <w:r>
        <w:rPr>
          <w:rStyle w:val="ColorGray"/>
        </w:rPr>
        <w:t xml:space="preserve"> </w:t>
      </w:r>
      <w:r>
        <w:rPr>
          <w:rStyle w:val="ColorGray"/>
        </w:rPr>
        <w:t xml:space="preserve">⟨5⟩</w:t>
      </w:r>
      <w:r>
        <w:rPr>
          <w:rStyle w:val="ColorGray"/>
        </w:rPr>
        <w:t xml:space="preserve"> </w:t>
      </w:r>
      <w:r>
        <w:t xml:space="preserve">dujayarājula</w:t>
      </w:r>
      <w:r>
        <w:rPr>
          <w:rStyle w:val="ColorGray"/>
        </w:rPr>
        <w:t xml:space="preserve"> </w:t>
      </w:r>
      <w:r>
        <w:rPr>
          <w:rStyle w:val="ColorGray"/>
        </w:rPr>
        <w:t xml:space="preserve">⟨6⟩</w:t>
      </w:r>
      <w:r>
        <w:rPr>
          <w:rStyle w:val="ColorGray"/>
        </w:rPr>
        <w:t xml:space="preserve"> </w:t>
      </w:r>
      <w:r>
        <w:t xml:space="preserve">muturājulu nava</w:t>
      </w:r>
      <w:r>
        <w:rPr>
          <w:rStyle w:val="ColorGray"/>
        </w:rPr>
        <w:t xml:space="preserve">⟨7⟩</w:t>
      </w:r>
      <w:r>
        <w:t xml:space="preserve">priyamutturājulu</w:t>
      </w:r>
      <w:r>
        <w:rPr>
          <w:rStyle w:val="ColorGray"/>
        </w:rPr>
        <w:t xml:space="preserve"> </w:t>
      </w:r>
      <w:r>
        <w:rPr>
          <w:rStyle w:val="ColorGray"/>
        </w:rPr>
        <w:t xml:space="preserve">⟨8⟩</w:t>
      </w:r>
      <w:r>
        <w:rPr>
          <w:rStyle w:val="ColorGray"/>
        </w:rPr>
        <w:t xml:space="preserve"> </w:t>
      </w:r>
      <w:r>
        <w:t xml:space="preserve">vallavadukarajulu śākṣi</w:t>
      </w:r>
      <w:r>
        <w:rPr>
          <w:rStyle w:val="ColorGray"/>
        </w:rPr>
        <w:t xml:space="preserve">⟨9⟩</w:t>
      </w:r>
      <w:r>
        <w:t xml:space="preserve">kanu Icci⟨na⟩ pannassa</w:t>
      </w:r>
    </w:p>
    <w:p>
      <w:pPr>
        <w:pStyle w:val="BodyText"/>
      </w:pPr>
      <w:r>
        <w:rPr>
          <w:rStyle w:val="ColorGray"/>
        </w:rPr>
        <w:t xml:space="preserve">⟨Faces B⟩</w:t>
      </w:r>
      <w:r>
        <w:rPr>
          <w:rStyle w:val="ColorGray"/>
        </w:rPr>
        <w:t xml:space="preserve"> </w:t>
      </w:r>
      <w:r>
        <w:rPr>
          <w:rStyle w:val="ColorGray"/>
        </w:rPr>
        <w:t xml:space="preserve"> </w:t>
      </w:r>
      <w:r>
        <w:rPr>
          <w:rStyle w:val="ColorGray"/>
        </w:rPr>
        <w:t xml:space="preserve">⟨10⟩</w:t>
      </w:r>
      <w:r>
        <w:rPr>
          <w:rStyle w:val="ColorGray"/>
        </w:rPr>
        <w:t xml:space="preserve"> </w:t>
      </w:r>
      <w:r>
        <w:t xml:space="preserve">koṭṭa(ṁ)buna pā</w:t>
      </w:r>
      <w:r>
        <w:rPr>
          <w:rStyle w:val="ColorGray"/>
        </w:rPr>
        <w:t xml:space="preserve">⟨11⟩</w:t>
      </w:r>
      <w:r>
        <w:t xml:space="preserve">ṟaku kuṇḍikāḷḷu</w:t>
      </w:r>
      <w:r>
        <w:rPr>
          <w:rStyle w:val="ColorGray"/>
        </w:rPr>
        <w:t xml:space="preserve">⟨12⟩</w:t>
      </w:r>
      <w:r>
        <w:t xml:space="preserve">ḷā Iccina pannasa</w:t>
      </w:r>
      <w:r>
        <w:rPr>
          <w:rStyle w:val="ColorGray"/>
        </w:rPr>
        <w:t xml:space="preserve"> </w:t>
      </w:r>
      <w:r>
        <w:rPr>
          <w:rStyle w:val="ColorGray"/>
        </w:rPr>
        <w:t xml:space="preserve">⟨13⟩</w:t>
      </w:r>
      <w:r>
        <w:rPr>
          <w:rStyle w:val="ColorGray"/>
        </w:rPr>
        <w:t xml:space="preserve"> </w:t>
      </w:r>
      <w:r>
        <w:t xml:space="preserve">Iravadiyādina</w:t>
      </w:r>
      <w:r>
        <w:rPr>
          <w:rStyle w:val="ColorGray"/>
        </w:rPr>
        <w:t xml:space="preserve">⟨14⟩</w:t>
      </w:r>
      <w:r>
        <w:t xml:space="preserve">lku maṟu(nt)uṟlu nēla</w:t>
      </w:r>
    </w:p>
    <w:p>
      <w:pPr>
        <w:pStyle w:val="Heading1"/>
      </w:pPr>
      <w:r>
        <w:t xml:space="preserve">Apparatus</w:t>
      </w:r>
    </w:p>
    <w:p>
      <w:pPr>
        <w:pStyle w:val="FirstParagraph"/>
      </w:pPr>
      <w:r>
        <w:rPr>
          <w:rStyle w:val="ColorGray"/>
        </w:rPr>
        <w:t xml:space="preserve">⟨3⟩</w:t>
      </w:r>
      <w:r>
        <w:t xml:space="preserve"> </w:t>
      </w:r>
      <w:r>
        <w:t xml:space="preserve">(n)ivabuka</w:t>
      </w:r>
      <w:r>
        <w:rPr>
          <w:rStyle w:val="ColorGray"/>
        </w:rPr>
        <w:t xml:space="preserve">⟨4⟩</w:t>
      </w:r>
      <w:r>
        <w:t xml:space="preserve">nu ⬦</w:t>
      </w:r>
      <w:r>
        <w:t xml:space="preserve"> </w:t>
      </w:r>
      <w:r>
        <w:rPr>
          <w:rStyle w:val="ColorGreen"/>
          <w:i/>
          <w:iCs/>
        </w:rPr>
        <w:t xml:space="preserve">(n)ivabukā</w:t>
      </w:r>
      <w:r>
        <w:rPr>
          <w:rStyle w:val="ColorGray"/>
          <w:i/>
          <w:iCs/>
        </w:rPr>
        <w:t xml:space="preserve">⟨4⟩</w:t>
      </w:r>
      <w:r>
        <w:rPr>
          <w:rStyle w:val="ColorGreen"/>
          <w:i/>
          <w:iCs/>
        </w:rPr>
        <w:t xml:space="preserve">nu</w:t>
      </w:r>
      <w:r>
        <w:t xml:space="preserve"> </w:t>
      </w:r>
      <w:r>
        <w:t xml:space="preserve">NS&amp;V.</w:t>
      </w:r>
    </w:p>
    <w:p>
      <w:pPr>
        <w:pStyle w:val="BodyText"/>
      </w:pPr>
      <w:r>
        <w:rPr>
          <w:rStyle w:val="ColorGray"/>
        </w:rPr>
        <w:t xml:space="preserve">⟨6⟩</w:t>
      </w:r>
      <w:r>
        <w:t xml:space="preserve"> </w:t>
      </w:r>
      <w:r>
        <w:t xml:space="preserve">muturājulu ⬦</w:t>
      </w:r>
      <w:r>
        <w:t xml:space="preserve"> </w:t>
      </w:r>
      <w:r>
        <w:rPr>
          <w:rStyle w:val="ColorGreen"/>
          <w:i/>
          <w:iCs/>
        </w:rPr>
        <w:t xml:space="preserve">mutturājulu</w:t>
      </w:r>
      <w:r>
        <w:t xml:space="preserve"> </w:t>
      </w:r>
      <w:r>
        <w:t xml:space="preserve">NS&amp;V.</w:t>
      </w:r>
    </w:p>
    <w:p>
      <w:pPr>
        <w:pStyle w:val="BodyText"/>
      </w:pPr>
      <w:r>
        <w:rPr>
          <w:rStyle w:val="ColorGray"/>
        </w:rPr>
        <w:t xml:space="preserve">⟨8⟩</w:t>
      </w:r>
      <w:r>
        <w:t xml:space="preserve"> </w:t>
      </w:r>
      <w:r>
        <w:t xml:space="preserve">śākṣi</w:t>
      </w:r>
      <w:r>
        <w:rPr>
          <w:rStyle w:val="ColorGray"/>
        </w:rPr>
        <w:t xml:space="preserve">⟨9⟩</w:t>
      </w:r>
      <w:r>
        <w:t xml:space="preserve">kanu ⬦</w:t>
      </w:r>
      <w:r>
        <w:t xml:space="preserve"> </w:t>
      </w:r>
      <w:r>
        <w:rPr>
          <w:rStyle w:val="ColorGreen"/>
          <w:i/>
          <w:iCs/>
        </w:rPr>
        <w:t xml:space="preserve">śakṣi</w:t>
      </w:r>
      <w:r>
        <w:rPr>
          <w:rStyle w:val="ColorGray"/>
          <w:i/>
          <w:iCs/>
        </w:rPr>
        <w:t xml:space="preserve">⟨9⟩</w:t>
      </w:r>
      <w:r>
        <w:rPr>
          <w:rStyle w:val="ColorGreen"/>
          <w:i/>
          <w:iCs/>
        </w:rPr>
        <w:t xml:space="preserve">kānu</w:t>
      </w:r>
      <w:r>
        <w:t xml:space="preserve"> </w:t>
      </w:r>
      <w:r>
        <w:t xml:space="preserve">NS&amp;V.</w:t>
      </w:r>
    </w:p>
    <w:p>
      <w:pPr>
        <w:pStyle w:val="BodyText"/>
      </w:pPr>
      <w:r>
        <w:rPr>
          <w:rStyle w:val="ColorGray"/>
        </w:rPr>
        <w:t xml:space="preserve">⟨11⟩</w:t>
      </w:r>
      <w:r>
        <w:t xml:space="preserve"> </w:t>
      </w:r>
      <w:r>
        <w:t xml:space="preserve">kuṇḍikāḷḷu</w:t>
      </w:r>
      <w:r>
        <w:rPr>
          <w:rStyle w:val="ColorGray"/>
        </w:rPr>
        <w:t xml:space="preserve">⟨12⟩</w:t>
      </w:r>
      <w:r>
        <w:t xml:space="preserve">ḷā ⬦</w:t>
      </w:r>
      <w:r>
        <w:t xml:space="preserve"> </w:t>
      </w:r>
      <w:r>
        <w:rPr>
          <w:rStyle w:val="ColorGreen"/>
          <w:i/>
          <w:iCs/>
        </w:rPr>
        <w:t xml:space="preserve">kuṇḍikāḷḷu</w:t>
      </w:r>
      <w:r>
        <w:rPr>
          <w:rStyle w:val="ColorGray"/>
          <w:i/>
          <w:iCs/>
        </w:rPr>
        <w:t xml:space="preserve">⟨12⟩</w:t>
      </w:r>
      <w:r>
        <w:rPr>
          <w:rStyle w:val="ColorGreen"/>
          <w:i/>
          <w:iCs/>
        </w:rPr>
        <w:t xml:space="preserve">ḷa</w:t>
      </w:r>
      <w:r>
        <w:t xml:space="preserve"> </w:t>
      </w:r>
      <w:r>
        <w:t xml:space="preserve">NS&amp;V.</w:t>
      </w:r>
    </w:p>
    <w:p>
      <w:pPr>
        <w:pStyle w:val="BodyText"/>
      </w:pPr>
      <w:r>
        <w:rPr>
          <w:rStyle w:val="ColorGray"/>
        </w:rPr>
        <w:t xml:space="preserve">⟨13⟩</w:t>
      </w:r>
      <w:r>
        <w:t xml:space="preserve"> </w:t>
      </w:r>
      <w:r>
        <w:t xml:space="preserve">Iravadiyādina</w:t>
      </w:r>
      <w:r>
        <w:rPr>
          <w:rStyle w:val="ColorGray"/>
        </w:rPr>
        <w:t xml:space="preserve">⟨14⟩</w:t>
      </w:r>
      <w:r>
        <w:t xml:space="preserve">lku ⬦</w:t>
      </w:r>
      <w:r>
        <w:t xml:space="preserve"> </w:t>
      </w:r>
      <w:r>
        <w:rPr>
          <w:rStyle w:val="ColorGreen"/>
          <w:i/>
          <w:iCs/>
        </w:rPr>
        <w:t xml:space="preserve">Iravadiyādinā</w:t>
      </w:r>
      <w:r>
        <w:rPr>
          <w:rStyle w:val="ColorGray"/>
          <w:i/>
          <w:iCs/>
        </w:rPr>
        <w:t xml:space="preserve">⟨14⟩</w:t>
      </w:r>
      <w:r>
        <w:rPr>
          <w:rStyle w:val="ColorGreen"/>
          <w:i/>
          <w:iCs/>
        </w:rPr>
        <w:t xml:space="preserve">lku</w:t>
      </w:r>
      <w:r>
        <w:t xml:space="preserve"> </w:t>
      </w:r>
      <w:r>
        <w:t xml:space="preserve">NS&amp;V.</w:t>
      </w:r>
    </w:p>
    <w:p>
      <w:pPr>
        <w:pStyle w:val="BodyText"/>
      </w:pPr>
      <w:r>
        <w:rPr>
          <w:rStyle w:val="ColorGray"/>
        </w:rPr>
        <w:t xml:space="preserve">⟨14⟩</w:t>
      </w:r>
      <w:r>
        <w:t xml:space="preserve"> </w:t>
      </w:r>
      <w:r>
        <w:t xml:space="preserve">maṟu(nt)uṟlu ⬦</w:t>
      </w:r>
      <w:r>
        <w:t xml:space="preserve"> </w:t>
      </w:r>
      <w:r>
        <w:rPr>
          <w:rStyle w:val="ColorGreen"/>
          <w:i/>
          <w:iCs/>
        </w:rPr>
        <w:t xml:space="preserve">maṟuntuṟlu</w:t>
      </w:r>
      <w:r>
        <w:t xml:space="preserve"> </w:t>
      </w:r>
      <w:r>
        <w:t xml:space="preserve">NS&amp;V.</w:t>
      </w:r>
    </w:p>
    <w:p>
      <w:pPr>
        <w:pStyle w:val="Heading1"/>
      </w:pPr>
      <w:r>
        <w:t xml:space="preserve">Translation by Sastri 1969</w:t>
      </w:r>
    </w:p>
    <w:p>
      <w:pPr>
        <w:pStyle w:val="FirstParagraph"/>
      </w:pPr>
      <w:r>
        <w:t xml:space="preserve">ll. 1-9 Hail! Prosperity! At the instance of Kuṇḍikāḷḷu (an officer ?) of Erikal-Mutturājulu, a</w:t>
      </w:r>
      <w:r>
        <w:t xml:space="preserve"> </w:t>
      </w:r>
      <w:r>
        <w:rPr>
          <w:i/>
          <w:iCs/>
        </w:rPr>
        <w:t xml:space="preserve">pannasa</w:t>
      </w:r>
      <w:r>
        <w:t xml:space="preserve"> </w:t>
      </w:r>
      <w:r>
        <w:t xml:space="preserve">was granted, the witnesses to the deed being Dujayarājula Mutturājulu, Navapriya Mutturājulu and Pallava Dukarajulu. ll. 10-14 Kuṇḍikāḷḷu granted</w:t>
      </w:r>
      <w:r>
        <w:t xml:space="preserve"> </w:t>
      </w:r>
      <w:r>
        <w:rPr>
          <w:i/>
          <w:iCs/>
        </w:rPr>
        <w:t xml:space="preserve">pannasa</w:t>
      </w:r>
      <w:r>
        <w:t xml:space="preserve"> </w:t>
      </w:r>
      <w:r>
        <w:t xml:space="preserve">of twenty-four</w:t>
      </w:r>
      <w:r>
        <w:t xml:space="preserve"> </w:t>
      </w:r>
      <w:r>
        <w:rPr>
          <w:i/>
          <w:iCs/>
        </w:rPr>
        <w:t xml:space="preserve">maṟuntuṟs</w:t>
      </w:r>
      <w:r>
        <w:t xml:space="preserve"> </w:t>
      </w:r>
      <w:r>
        <w:t xml:space="preserve">of land to a brahmin of</w:t>
      </w:r>
      <w:r>
        <w:t xml:space="preserve"> </w:t>
      </w:r>
      <w:r>
        <w:rPr>
          <w:rStyle w:val="ColorRed"/>
        </w:rPr>
        <w:t xml:space="preserve">¿of?</w:t>
      </w:r>
      <w:r>
        <w:t xml:space="preserve"> </w:t>
      </w:r>
      <w:r>
        <w:t xml:space="preserve">the territorial division (</w:t>
      </w:r>
      <w:r>
        <w:rPr>
          <w:i/>
          <w:iCs/>
        </w:rPr>
        <w:t xml:space="preserve">koṭṭaṁbu</w:t>
      </w:r>
      <w:r>
        <w:t xml:space="preserve">).</w:t>
      </w:r>
    </w:p>
    <w:p>
      <w:pPr>
        <w:pStyle w:val="Heading1"/>
      </w:pPr>
      <w:r>
        <w:t xml:space="preserve">Translation</w:t>
      </w:r>
    </w:p>
    <w:p>
      <w:pPr>
        <w:pStyle w:val="FirstParagraph"/>
      </w:pPr>
      <w:r>
        <w:t xml:space="preserve">Svasti! At the instance of (the) Kuṇḍikāḷḷu of Śrī Erikalmutturājullu a pannasa was given. (With) Dujayarājula Muturājulu, Navapriyamutturājulu, and Vallavadukarajulu being the witnesses the pannasa was given to the brahmin at the residence. The pannasa given by (the) Kuṇḍikāḷḷu (is) twenty four</w:t>
      </w:r>
      <w:r>
        <w:t xml:space="preserve"> </w:t>
      </w:r>
      <w:r>
        <w:rPr>
          <w:i/>
          <w:iCs/>
        </w:rPr>
        <w:t xml:space="preserve">maṟuntuṟlu</w:t>
      </w:r>
      <w:r>
        <w:t xml:space="preserve"> </w:t>
      </w:r>
      <w:r>
        <w:t xml:space="preserve">land.</w:t>
      </w:r>
    </w:p>
    <w:p>
      <w:pPr>
        <w:pStyle w:val="Heading1"/>
      </w:pPr>
      <w:r>
        <w:t xml:space="preserve">Commentary</w:t>
      </w:r>
    </w:p>
    <w:p>
      <w:pPr>
        <w:pStyle w:val="FirstParagraph"/>
      </w:pPr>
      <w:r>
        <w:t xml:space="preserve">The expression</w:t>
      </w:r>
      <w:r>
        <w:t xml:space="preserve"> </w:t>
      </w:r>
      <w:r>
        <w:rPr>
          <w:i/>
          <w:iCs/>
        </w:rPr>
        <w:t xml:space="preserve">nivabukanu</w:t>
      </w:r>
      <w:r>
        <w:t xml:space="preserve"> </w:t>
      </w:r>
      <w:r>
        <w:t xml:space="preserve">(*nivambu+kānu) may well correspond to modern Telugu</w:t>
      </w:r>
      <w:r>
        <w:t xml:space="preserve"> </w:t>
      </w:r>
      <w:r>
        <w:rPr>
          <w:i/>
          <w:iCs/>
        </w:rPr>
        <w:t xml:space="preserve">nevamu</w:t>
      </w:r>
      <w:r>
        <w:t xml:space="preserve">/</w:t>
      </w:r>
      <w:r>
        <w:rPr>
          <w:i/>
          <w:iCs/>
        </w:rPr>
        <w:t xml:space="preserve">nepamu</w:t>
      </w:r>
      <w:r>
        <w:t xml:space="preserve"> </w:t>
      </w:r>
      <w:r>
        <w:t xml:space="preserve">which means ’blame, pretext, pretence’ but also ’cause’. It is traced to either skt.</w:t>
      </w:r>
      <w:r>
        <w:t xml:space="preserve"> </w:t>
      </w:r>
      <w:r>
        <w:rPr>
          <w:i/>
          <w:iCs/>
        </w:rPr>
        <w:t xml:space="preserve">nibha</w:t>
      </w:r>
      <w:r>
        <w:t xml:space="preserve">- (Sastri 1969, p. 372) or skt.</w:t>
      </w:r>
      <w:r>
        <w:t xml:space="preserve"> </w:t>
      </w:r>
      <w:r>
        <w:rPr>
          <w:i/>
          <w:iCs/>
        </w:rPr>
        <w:t xml:space="preserve">nivāpa</w:t>
      </w:r>
      <w:r>
        <w:t xml:space="preserve">- (</w:t>
      </w:r>
      <w:hyperlink r:id="rId9">
        <w:r>
          <w:rPr>
            <w:rStyle w:val="Hyperlink"/>
          </w:rPr>
          <w:t xml:space="preserve">Radhakrishna 1971</w:t>
        </w:r>
      </w:hyperlink>
      <w:r>
        <w:t xml:space="preserve">, p. 364).</w:t>
      </w:r>
      <w:r>
        <w:t xml:space="preserve"> </w:t>
      </w:r>
      <w:r>
        <w:rPr>
          <w:i/>
          <w:iCs/>
        </w:rPr>
        <w:t xml:space="preserve">Kuṇḍikāḷḷu</w:t>
      </w:r>
      <w:r>
        <w:t xml:space="preserve"> </w:t>
      </w:r>
      <w:r>
        <w:t xml:space="preserve">(i.e. skt.</w:t>
      </w:r>
      <w:r>
        <w:t xml:space="preserve"> </w:t>
      </w:r>
      <w:r>
        <w:rPr>
          <w:i/>
          <w:iCs/>
        </w:rPr>
        <w:t xml:space="preserve">kuṇḍin</w:t>
      </w:r>
      <w:r>
        <w:t xml:space="preserve">- +</w:t>
      </w:r>
      <w:r>
        <w:t xml:space="preserve"> </w:t>
      </w:r>
      <w:r>
        <w:rPr>
          <w:i/>
          <w:iCs/>
        </w:rPr>
        <w:t xml:space="preserve">kāḷḷu</w:t>
      </w:r>
      <w:r>
        <w:t xml:space="preserve">, pl. of</w:t>
      </w:r>
      <w:r>
        <w:t xml:space="preserve"> </w:t>
      </w:r>
      <w:r>
        <w:rPr>
          <w:i/>
          <w:iCs/>
        </w:rPr>
        <w:t xml:space="preserve">kālu</w:t>
      </w:r>
      <w:r>
        <w:t xml:space="preserve"> </w:t>
      </w:r>
      <w:r>
        <w:t xml:space="preserve">’foot’ as loan translation from skt.</w:t>
      </w:r>
      <w:r>
        <w:t xml:space="preserve"> </w:t>
      </w:r>
      <w:r>
        <w:rPr>
          <w:i/>
          <w:iCs/>
        </w:rPr>
        <w:t xml:space="preserve">pāda</w:t>
      </w:r>
      <w:r>
        <w:t xml:space="preserve">-) could be a proper noun but it also could be a desgnation of an official (e. g. a higher religious official). This ambivalence is indicated by (the) in brackets. Although a village name is not mentioned the expression</w:t>
      </w:r>
      <w:r>
        <w:t xml:space="preserve"> </w:t>
      </w:r>
      <w:r>
        <w:rPr>
          <w:i/>
          <w:iCs/>
        </w:rPr>
        <w:t xml:space="preserve">koṭṭaṁbu</w:t>
      </w:r>
      <w:r>
        <w:t xml:space="preserve"> </w:t>
      </w:r>
      <w:r>
        <w:t xml:space="preserve">can refer to the spot where the inscription has been found (Eṟṟaguḍipāḍu). It is noteworthy that the generic expression "brahmin at the residence" was either sufficient to identify the brahmin who was given the pannasa or that only the donation act itself was the deed that was ment to be remembered. On the other hand there are villages that are named</w:t>
      </w:r>
      <w:r>
        <w:t xml:space="preserve"> </w:t>
      </w:r>
      <w:r>
        <w:rPr>
          <w:i/>
          <w:iCs/>
        </w:rPr>
        <w:t xml:space="preserve">koṭṭam</w:t>
      </w:r>
      <w:r>
        <w:t xml:space="preserve">.</w:t>
      </w:r>
    </w:p>
    <w:p>
      <w:pPr>
        <w:pStyle w:val="Heading1"/>
      </w:pPr>
      <w:r>
        <w:t xml:space="preserve">Bibliography</w:t>
      </w:r>
    </w:p>
    <w:p>
      <w:pPr>
        <w:pStyle w:val="FirstParagraph"/>
      </w:pPr>
      <w:r>
        <w:t xml:space="preserve">The incription was noted twice in the Annual Report and edited by K. A. Nilakanta Sastri and M. Venkataramayya with picture and annotations but without translation ([1956] 1947–1948, pp. 225–228, № 42 B). Following Nilakanta Sastri’s and Venkataramayya’s edition K. M. Sastri re-edited and translated the text (1969, pp. 282–283, № 2).</w:t>
      </w:r>
    </w:p>
    <w:p>
      <w:pPr>
        <w:pStyle w:val="Heading2"/>
      </w:pPr>
      <w:r>
        <w:t xml:space="preserve">Primary</w:t>
      </w:r>
    </w:p>
    <w:p>
      <w:pPr>
        <w:pStyle w:val="FirstParagraph"/>
      </w:pPr>
      <w:r>
        <w:rPr>
          <w:b/>
          <w:bCs/>
        </w:rPr>
        <w:t xml:space="preserve">[NS&amp;V]</w:t>
      </w:r>
      <w:r>
        <w:t xml:space="preserve"> </w:t>
      </w:r>
      <w:r>
        <w:t xml:space="preserve">Nilakanta Sastri, K. A. &amp; M. Venkataramayya. [1956] 1947–1948. “Telugu Chola records from Anantapur and Cuddapah.” EI 27, pp. 220–251. Pages 225–228, item 42 B.</w:t>
      </w:r>
    </w:p>
    <w:p>
      <w:pPr>
        <w:pStyle w:val="Heading2"/>
      </w:pPr>
      <w:r>
        <w:t xml:space="preserve">Secondary</w:t>
      </w:r>
    </w:p>
    <w:p>
      <w:pPr>
        <w:pStyle w:val="FirstParagraph"/>
      </w:pPr>
      <w:r>
        <w:t xml:space="preserve">ARIE 1929–30.</w:t>
      </w:r>
      <w:r>
        <w:t xml:space="preserve"> </w:t>
      </w:r>
      <w:r>
        <w:rPr>
          <w:i/>
          <w:iCs/>
        </w:rPr>
        <w:t xml:space="preserve">Annual report on South-Indian epigraphy for the year ending 31st March 1930</w:t>
      </w:r>
      <w:r>
        <w:t xml:space="preserve">. Edited by K. V. Subrahmanya Aiyer. Calcutta: Government of India Central Publication Branch, 1932. Appendixes B/1929-30, page 12, item 98.</w:t>
      </w:r>
    </w:p>
    <w:p>
      <w:pPr>
        <w:pStyle w:val="BodyText"/>
      </w:pPr>
      <w:r>
        <w:t xml:space="preserve">ARIE 1937–38.</w:t>
      </w:r>
      <w:r>
        <w:t xml:space="preserve"> </w:t>
      </w:r>
      <w:r>
        <w:rPr>
          <w:i/>
          <w:iCs/>
        </w:rPr>
        <w:t xml:space="preserve">Annual report on South Indian epigraphy for the year ending 31st March 1938</w:t>
      </w:r>
      <w:r>
        <w:t xml:space="preserve">. Edited by C. R. Krishnamacharlu. Delhi: Government of India, 1942. Appendixes B/1937-38, page 31, item 232.</w:t>
      </w:r>
    </w:p>
    <w:p>
      <w:pPr>
        <w:pStyle w:val="BodyText"/>
      </w:pPr>
      <w:r>
        <w:t xml:space="preserve">Sastri, Korada Mahadeva. 1969.</w:t>
      </w:r>
      <w:r>
        <w:t xml:space="preserve"> </w:t>
      </w:r>
      <w:r>
        <w:rPr>
          <w:i/>
          <w:iCs/>
        </w:rPr>
        <w:t xml:space="preserve">Historical grammar of Telugu with special reference to Old Telugu c. 200 B.C. - 1000 A.D.</w:t>
      </w:r>
      <w:r>
        <w:t xml:space="preserve"> </w:t>
      </w:r>
      <w:r>
        <w:t xml:space="preserve">Anantapur: Sri Venkateswara Univ. Pages 282–283, item 2.</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bibliography/entry/Radhakrishna1971_0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bibliography/entry/Radhakrishna1971_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Eṟṟaguḍipāḍu grant of Kuṇḍikāḷḷu during the reign of Erikalmutturājullu</dc:title>
  <dc:creator>Jens Thomas</dc:creator>
  <cp:keywords/>
  <dcterms:created xsi:type="dcterms:W3CDTF">2026-10-26T16:59:48Z</dcterms:created>
  <dcterms:modified xsi:type="dcterms:W3CDTF">2026-10-26T16:59:48Z</dcterms:modified>
</cp:coreProperties>
</file>

<file path=docProps/custom.xml><?xml version="1.0" encoding="utf-8"?>
<Properties xmlns="http://schemas.openxmlformats.org/officeDocument/2006/custom-properties" xmlns:vt="http://schemas.openxmlformats.org/officeDocument/2006/docPropsVTypes"/>
</file>