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Cārāla plates, time of Rājendra / Rājakesarin Vīrarājendra, year 32</w:t>
      </w:r>
    </w:p>
    <w:p>
      <w:pPr>
        <w:pStyle w:val="Author"/>
      </w:pPr>
      <w:r>
        <w:t xml:space="preserve">Emmanuel Francis</w:t>
      </w:r>
    </w:p>
    <w:p>
      <w:pPr>
        <w:pStyle w:val="FirstParagraph"/>
      </w:pPr>
      <w:r>
        <w:t xml:space="preserve">Author of digital edition: Emmanuel Francis</w:t>
      </w:r>
    </w:p>
    <w:p>
      <w:pPr>
        <w:pStyle w:val="BodyText"/>
      </w:pPr>
      <w:r>
        <w:t xml:space="preserve">Identifier: DHARMA_INSTamilNadu01010</w:t>
      </w:r>
    </w:p>
    <w:p>
      <w:pPr>
        <w:pStyle w:val="BodyText"/>
      </w:pPr>
      <w:r>
        <w:t xml:space="preserve">Repository: Tamil Nadu (varia) (tfa-tamilnadu-epigraphy)</w:t>
      </w:r>
    </w:p>
    <w:p>
      <w:pPr>
        <w:pStyle w:val="BodyText"/>
      </w:pPr>
      <w:r>
        <w:t xml:space="preserve">File path: DHARMA_INSTamilNadu01010.xml</w:t>
      </w:r>
    </w:p>
    <w:p>
      <w:pPr>
        <w:pStyle w:val="BodyText"/>
      </w:pPr>
      <w:r>
        <w:t xml:space="preserve">Languages: Sanskrit [Grantha], Tamil [Grantha, Tamil]</w:t>
      </w:r>
    </w:p>
    <w:p>
      <w:pPr>
        <w:pStyle w:val="BodyText"/>
      </w:pPr>
      <w:r>
        <w:t xml:space="preserve">Commit: 2026-10-23 16:15 (5e3a6fe), last modified 2026-09-29 11:10 (5251b7d)</w:t>
      </w:r>
    </w:p>
    <w:p>
      <w:r>
        <w:pict>
          <v:rect style="width:0;height:1.5pt" o:hralign="center" o:hrstd="t" o:hr="t"/>
        </w:pict>
      </w:r>
    </w:p>
    <w:p>
      <w:pPr>
        <w:pStyle w:val="Heading1"/>
      </w:pPr>
      <w:r>
        <w:t xml:space="preserve">Edition</w:t>
      </w:r>
    </w:p>
    <w:p>
      <w:pPr>
        <w:pStyle w:val="Heading2"/>
      </w:pPr>
      <w:r>
        <w:t xml:space="preserve">Seal</w:t>
      </w:r>
    </w:p>
    <w:p>
      <w:pPr>
        <w:pStyle w:val="FirstParagraph"/>
      </w:pPr>
      <w:r>
        <w:t xml:space="preserve">1.</w:t>
      </w:r>
      <w:r>
        <w:t xml:space="preserve"> </w:t>
      </w:r>
      <w:hyperlink r:id="rId9">
        <w:r>
          <w:rPr>
            <w:rStyle w:val="Hyperlink"/>
          </w:rPr>
          <w:t xml:space="preserve">Anuṣṭubh</w:t>
        </w:r>
      </w:hyperlink>
    </w:p>
    <w:p>
      <w:pPr>
        <w:pStyle w:val="BodyText"/>
      </w:pPr>
      <w:r>
        <w:t xml:space="preserve">...</w:t>
      </w:r>
      <w:r>
        <w:br/>
      </w:r>
      <w:r>
        <w:t xml:space="preserve">...</w:t>
      </w:r>
      <w:r>
        <w:br/>
      </w:r>
      <w:r>
        <w:t xml:space="preserve">...</w:t>
      </w:r>
      <w:r>
        <w:br/>
      </w:r>
      <w:r>
        <w:t xml:space="preserve">....</w:t>
      </w:r>
    </w:p>
    <w:p>
      <w:pPr>
        <w:pStyle w:val="Heading2"/>
      </w:pPr>
      <w:r>
        <w:t xml:space="preserve">Plates: Sanskrit portion 1 of 2</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⟨1v1=1⟩</w:t>
      </w:r>
      <w:r>
        <w:rPr>
          <w:rStyle w:val="ColorGray"/>
        </w:rPr>
        <w:t xml:space="preserve"> </w:t>
      </w:r>
      <w:r>
        <w:t xml:space="preserve">svasti śrī</w:t>
      </w:r>
    </w:p>
    <w:p>
      <w:pPr>
        <w:pStyle w:val="BodyText"/>
      </w:pPr>
      <w:r>
        <w:rPr>
          <w:rStyle w:val="ColorGray"/>
        </w:rPr>
        <w:t xml:space="preserve">⟨Page 2r⟩</w:t>
      </w:r>
      <w:r>
        <w:rPr>
          <w:rStyle w:val="ColorGray"/>
        </w:rPr>
        <w:t xml:space="preserve"> </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⟨Page 3v⟩</w:t>
      </w:r>
      <w:r>
        <w:rPr>
          <w:rStyle w:val="ColorGray"/>
        </w:rPr>
        <w:t xml:space="preserve"> </w:t>
      </w:r>
      <w:r>
        <w:rPr>
          <w:rStyle w:val="ColorGray"/>
        </w:rPr>
        <w:t xml:space="preserve"> </w:t>
      </w:r>
      <w:r>
        <w:rPr>
          <w:rStyle w:val="ColorGray"/>
        </w:rPr>
        <w:t xml:space="preserve">⟨Page 4r⟩</w:t>
      </w:r>
      <w:r>
        <w:rPr>
          <w:rStyle w:val="ColorGray"/>
        </w:rPr>
        <w:t xml:space="preserve"> </w:t>
      </w:r>
      <w:r>
        <w:rPr>
          <w:rStyle w:val="ColorGray"/>
        </w:rPr>
        <w:t xml:space="preserve"> </w:t>
      </w:r>
      <w:r>
        <w:rPr>
          <w:rStyle w:val="ColorGray"/>
        </w:rPr>
        <w:t xml:space="preserve">⟨Page 4v⟩</w:t>
      </w:r>
      <w:r>
        <w:rPr>
          <w:rStyle w:val="ColorGray"/>
        </w:rPr>
        <w:t xml:space="preserve"> </w:t>
      </w:r>
      <w:r>
        <w:rPr>
          <w:rStyle w:val="ColorGray"/>
        </w:rPr>
        <w:t xml:space="preserve"> </w:t>
      </w:r>
      <w:r>
        <w:rPr>
          <w:rStyle w:val="ColorGray"/>
        </w:rPr>
        <w:t xml:space="preserve">⟨Page 5r⟩</w:t>
      </w:r>
      <w:r>
        <w:rPr>
          <w:rStyle w:val="ColorGray"/>
        </w:rPr>
        <w:t xml:space="preserve"> </w:t>
      </w:r>
    </w:p>
    <w:p>
      <w:pPr>
        <w:pStyle w:val="BodyText"/>
      </w:pPr>
      <w:r>
        <w:t xml:space="preserve">72.</w:t>
      </w:r>
      <w:r>
        <w:t xml:space="preserve"> </w:t>
      </w:r>
      <w:hyperlink r:id="rId10">
        <w:r>
          <w:rPr>
            <w:rStyle w:val="Hyperlink"/>
          </w:rPr>
          <w:t xml:space="preserve">Vasantatilakā</w:t>
        </w:r>
      </w:hyperlink>
    </w:p>
    <w:p>
      <w:pPr>
        <w:pStyle w:val="BodyText"/>
      </w:pPr>
      <w:r>
        <w:t xml:space="preserve">Ullaṁghit-āMbuddhibhir uddhata-bāhu-v</w:t>
      </w:r>
      <w:r>
        <w:rPr>
          <w:rStyle w:val="ColorMagenta"/>
        </w:rPr>
        <w:t xml:space="preserve">¡i!</w:t>
      </w:r>
      <w:r>
        <w:rPr>
          <w:rStyle w:val="ColorBlue"/>
        </w:rPr>
        <w:t xml:space="preserve">⟨ī⟩</w:t>
      </w:r>
      <w:r>
        <w:t xml:space="preserve">ryyair</w:t>
      </w:r>
      <w:r>
        <w:br/>
      </w:r>
      <w:r>
        <w:t xml:space="preserve">nnirdhūta-(v)airi-nara-nātha-bala-prapañcaiḥ</w:t>
      </w:r>
      <w:r>
        <w:br/>
      </w:r>
      <w:r>
        <w:rPr>
          <w:rStyle w:val="ColorGray"/>
        </w:rPr>
        <w:t xml:space="preserve">⟨5r12=138⟩</w:t>
      </w:r>
      <w:r>
        <w:rPr>
          <w:rStyle w:val="ColorGray"/>
        </w:rPr>
        <w:t xml:space="preserve"> </w:t>
      </w:r>
      <w:r>
        <w:t xml:space="preserve">sainyair ddadāha sa kaṭāham ada</w:t>
      </w:r>
      <w:r>
        <w:rPr>
          <w:rStyle w:val="ColorRed"/>
        </w:rPr>
        <w:t xml:space="preserve">¿d?</w:t>
      </w:r>
      <w:r>
        <w:rPr>
          <w:rStyle w:val="ColorGreen"/>
        </w:rPr>
        <w:t xml:space="preserve">⟨g⟩</w:t>
      </w:r>
      <w:r>
        <w:t xml:space="preserve">dham anyai</w:t>
      </w:r>
      <w:r>
        <w:br/>
      </w:r>
      <w:r>
        <w:t xml:space="preserve">rājendra-coḷa-nr̥patiḥ kim asāddhyam asya ↝ 7 10 2 ↝</w:t>
      </w:r>
    </w:p>
    <w:p>
      <w:pPr>
        <w:pStyle w:val="BodyText"/>
      </w:pPr>
      <w:r>
        <w:rPr>
          <w:rStyle w:val="ColorGray"/>
        </w:rPr>
        <w:t xml:space="preserve">⟨Page 5v⟩</w:t>
      </w:r>
      <w:r>
        <w:rPr>
          <w:rStyle w:val="ColorGray"/>
        </w:rPr>
        <w:t xml:space="preserve"> </w:t>
      </w:r>
    </w:p>
    <w:p>
      <w:pPr>
        <w:pStyle w:val="Heading2"/>
      </w:pPr>
      <w:r>
        <w:t xml:space="preserve">Plates: Tamil portion 1 of 3</w:t>
      </w:r>
    </w:p>
    <w:p>
      <w:pPr>
        <w:pStyle w:val="FirstParagraph"/>
      </w:pPr>
      <w:r>
        <w:rPr>
          <w:rStyle w:val="ColorGray"/>
        </w:rPr>
        <w:t xml:space="preserve">⟨Page 6r⟩</w:t>
      </w:r>
      <w:r>
        <w:rPr>
          <w:rStyle w:val="ColorGray"/>
        </w:rPr>
        <w:t xml:space="preserve"> </w:t>
      </w:r>
      <w:r>
        <w:rPr>
          <w:rStyle w:val="ColorGray"/>
        </w:rPr>
        <w:t xml:space="preserve"> </w:t>
      </w:r>
      <w:r>
        <w:rPr>
          <w:rStyle w:val="ColorGray"/>
        </w:rPr>
        <w:t xml:space="preserve">⟨Page 6v⟩</w:t>
      </w:r>
      <w:r>
        <w:rPr>
          <w:rStyle w:val="ColorGray"/>
        </w:rPr>
        <w:t xml:space="preserve"> </w:t>
      </w:r>
    </w:p>
    <w:p>
      <w:pPr>
        <w:pStyle w:val="Heading2"/>
      </w:pPr>
      <w:r>
        <w:t xml:space="preserve">Plates: Sanskrit portion 2 of 3</w:t>
      </w:r>
    </w:p>
    <w:p>
      <w:pPr>
        <w:pStyle w:val="FirstParagraph"/>
      </w:pPr>
      <w:r>
        <w:rPr>
          <w:rStyle w:val="ColorGray"/>
        </w:rPr>
        <w:t xml:space="preserve">⟨Page 6v⟩</w:t>
      </w:r>
      <w:r>
        <w:rPr>
          <w:rStyle w:val="ColorGray"/>
        </w:rPr>
        <w:t xml:space="preserve"> </w:t>
      </w:r>
      <w:r>
        <w:rPr>
          <w:rStyle w:val="ColorGray"/>
        </w:rPr>
        <w:t xml:space="preserve"> </w:t>
      </w:r>
      <w:r>
        <w:rPr>
          <w:rStyle w:val="ColorGray"/>
        </w:rPr>
        <w:t xml:space="preserve">⟨Page 7r⟩</w:t>
      </w:r>
      <w:r>
        <w:rPr>
          <w:rStyle w:val="ColorGray"/>
        </w:rPr>
        <w:t xml:space="preserve"> </w:t>
      </w:r>
    </w:p>
    <w:p>
      <w:pPr>
        <w:pStyle w:val="Heading2"/>
      </w:pPr>
      <w:r>
        <w:t xml:space="preserve">Plates: Tamil portion 2 of 3</w:t>
      </w:r>
    </w:p>
    <w:p>
      <w:pPr>
        <w:pStyle w:val="FirstParagraph"/>
      </w:pPr>
      <w:r>
        <w:rPr>
          <w:rStyle w:val="ColorGray"/>
        </w:rPr>
        <w:t xml:space="preserve">⟨Page 7r⟩</w:t>
      </w:r>
      <w:r>
        <w:rPr>
          <w:rStyle w:val="ColorGray"/>
        </w:rPr>
        <w:t xml:space="preserve"> </w:t>
      </w:r>
    </w:p>
    <w:p>
      <w:pPr>
        <w:pStyle w:val="Heading2"/>
      </w:pPr>
      <w:r>
        <w:t xml:space="preserve">Plates: Sanskrit portion 3 of 3</w:t>
      </w:r>
    </w:p>
    <w:p>
      <w:pPr>
        <w:pStyle w:val="FirstParagraph"/>
      </w:pPr>
      <w:r>
        <w:t xml:space="preserve">84. Uncertain meter</w:t>
      </w:r>
    </w:p>
    <w:p>
      <w:pPr>
        <w:pStyle w:val="BodyText"/>
      </w:pPr>
      <w:r>
        <w:rPr>
          <w:rStyle w:val="ColorGray"/>
        </w:rPr>
        <w:t xml:space="preserve">⟨Page 7r⟩</w:t>
      </w:r>
      <w:r>
        <w:rPr>
          <w:rStyle w:val="ColorGray"/>
        </w:rPr>
        <w:t xml:space="preserve"> </w:t>
      </w:r>
      <w:r>
        <w:t xml:space="preserve">sāmānyo ’yaṁ dha(r)mmam eta⟨n⟩ nr̥pāṇām</w:t>
      </w:r>
      <w:r>
        <w:br/>
      </w:r>
      <w:r>
        <w:t xml:space="preserve">kāle kāle</w:t>
      </w:r>
      <w:r>
        <w:rPr>
          <w:rStyle w:val="ColorGray"/>
        </w:rPr>
        <w:t xml:space="preserve"> </w:t>
      </w:r>
      <w:r>
        <w:rPr>
          <w:rStyle w:val="ColorGray"/>
        </w:rPr>
        <w:t xml:space="preserve">⟨7r11=202⟩</w:t>
      </w:r>
      <w:r>
        <w:rPr>
          <w:rStyle w:val="ColorGray"/>
        </w:rPr>
        <w:t xml:space="preserve"> </w:t>
      </w:r>
      <w:r>
        <w:t xml:space="preserve">pāl</w:t>
      </w:r>
      <w:r>
        <w:rPr>
          <w:rStyle w:val="ColorRed"/>
        </w:rPr>
        <w:t xml:space="preserve">¿i?</w:t>
      </w:r>
      <w:r>
        <w:rPr>
          <w:rStyle w:val="ColorGreen"/>
        </w:rPr>
        <w:t xml:space="preserve">⟨a⟩</w:t>
      </w:r>
      <w:r>
        <w:t xml:space="preserve">n</w:t>
      </w:r>
      <w:r>
        <w:rPr>
          <w:rStyle w:val="ColorMagenta"/>
        </w:rPr>
        <w:t xml:space="preserve">¡i!</w:t>
      </w:r>
      <w:r>
        <w:rPr>
          <w:rStyle w:val="ColorBlue"/>
        </w:rPr>
        <w:t xml:space="preserve">⟨ī⟩</w:t>
      </w:r>
      <w:r>
        <w:t xml:space="preserve">yo bhava</w:t>
      </w:r>
      <w:r>
        <w:rPr>
          <w:rStyle w:val="ColorMagenta"/>
        </w:rPr>
        <w:t xml:space="preserve">¡t!</w:t>
      </w:r>
      <w:r>
        <w:rPr>
          <w:rStyle w:val="ColorBlue"/>
        </w:rPr>
        <w:t xml:space="preserve">⟨d⟩</w:t>
      </w:r>
      <w:r>
        <w:t xml:space="preserve">bhis</w:t>
      </w:r>
      <w:r>
        <w:br/>
      </w:r>
      <w:r>
        <w:t xml:space="preserve">tasmād etān bhāvinaḥ pārtthivendrān·</w:t>
      </w:r>
      <w:r>
        <w:br/>
      </w:r>
      <w:r>
        <w:t xml:space="preserve">bhūyo bhūyo yāca</w:t>
      </w:r>
      <w:r>
        <w:rPr>
          <w:rStyle w:val="ColorGray"/>
        </w:rPr>
        <w:t xml:space="preserve">⟨7r12=203⟩</w:t>
      </w:r>
      <w:r>
        <w:t xml:space="preserve">te rāmabhadra⟨ḥ⟩ ↝</w:t>
      </w:r>
    </w:p>
    <w:p>
      <w:pPr>
        <w:pStyle w:val="BodyText"/>
      </w:pPr>
      <w:r>
        <w:t xml:space="preserve">85. Uncertain meter</w:t>
      </w:r>
    </w:p>
    <w:p>
      <w:pPr>
        <w:pStyle w:val="BodyText"/>
      </w:pPr>
      <w:r>
        <w:t xml:space="preserve">sukr̥tam idam ajasraṁ rakṣyat=e</w:t>
      </w:r>
      <w:r>
        <w:rPr>
          <w:rStyle w:val="ColorRed"/>
        </w:rPr>
        <w:t xml:space="preserve">¿diṣu d</w:t>
      </w:r>
      <w:r>
        <w:rPr>
          <w:rStyle w:val="ColorMagenta"/>
        </w:rPr>
        <w:t xml:space="preserve">¡i!</w:t>
      </w:r>
      <w:r>
        <w:rPr>
          <w:rStyle w:val="ColorBlue"/>
        </w:rPr>
        <w:t xml:space="preserve">⟨ī⟩</w:t>
      </w:r>
      <w:r>
        <w:rPr>
          <w:rStyle w:val="ColorRed"/>
        </w:rPr>
        <w:t xml:space="preserve">śān·?</w:t>
      </w:r>
      <w:r>
        <w:rPr>
          <w:rStyle w:val="ColorGreen"/>
        </w:rPr>
        <w:t xml:space="preserve">⟨ti kṣitīśās⟩</w:t>
      </w:r>
      <w:r>
        <w:br/>
      </w:r>
      <w:r>
        <w:t xml:space="preserve">sakala-nr̥p</w:t>
      </w:r>
      <w:r>
        <w:rPr>
          <w:rStyle w:val="ColorRed"/>
        </w:rPr>
        <w:t xml:space="preserve">¿i?</w:t>
      </w:r>
      <w:r>
        <w:rPr>
          <w:rStyle w:val="ColorGreen"/>
        </w:rPr>
        <w:t xml:space="preserve">⟨a⟩</w:t>
      </w:r>
      <w:r>
        <w:t xml:space="preserve">ti-vandyas so</w:t>
      </w:r>
      <w:r>
        <w:rPr>
          <w:rStyle w:val="ColorGray"/>
        </w:rPr>
        <w:t xml:space="preserve"> </w:t>
      </w:r>
      <w:r>
        <w:rPr>
          <w:rStyle w:val="ColorGray"/>
        </w:rPr>
        <w:t xml:space="preserve">⟨7r13=204⟩</w:t>
      </w:r>
      <w:r>
        <w:rPr>
          <w:rStyle w:val="ColorGray"/>
        </w:rPr>
        <w:t xml:space="preserve"> </w:t>
      </w:r>
      <w:r>
        <w:t xml:space="preserve">’yam āgamino vaḥ</w:t>
      </w:r>
      <w:r>
        <w:br/>
      </w:r>
      <w:r>
        <w:t xml:space="preserve">hara-caraṇa-saro⟨j-o⟩tt{v}aṁsa-cihnena mūrddh⟨n⟩ā</w:t>
      </w:r>
      <w:r>
        <w:br/>
      </w:r>
      <w:r>
        <w:t xml:space="preserve">muk</w:t>
      </w:r>
      <w:r>
        <w:rPr>
          <w:rStyle w:val="ColorRed"/>
        </w:rPr>
        <w:t xml:space="preserve">¿a?</w:t>
      </w:r>
      <w:r>
        <w:rPr>
          <w:rStyle w:val="ColorGreen"/>
        </w:rPr>
        <w:t xml:space="preserve">⟨u⟩</w:t>
      </w:r>
      <w:r>
        <w:t xml:space="preserve">ḷita-kara-pa</w:t>
      </w:r>
      <w:r>
        <w:rPr>
          <w:rStyle w:val="ColorRed"/>
        </w:rPr>
        <w:t xml:space="preserve">¿n?</w:t>
      </w:r>
      <w:r>
        <w:rPr>
          <w:rStyle w:val="ColorGreen"/>
        </w:rPr>
        <w:t xml:space="preserve">⟨d⟩</w:t>
      </w:r>
      <w:r>
        <w:t xml:space="preserve">mo</w:t>
      </w:r>
      <w:r>
        <w:rPr>
          <w:rStyle w:val="ColorGray"/>
        </w:rPr>
        <w:t xml:space="preserve"> </w:t>
      </w:r>
      <w:r>
        <w:rPr>
          <w:rStyle w:val="ColorGray"/>
        </w:rPr>
        <w:t xml:space="preserve">⟨7r14=205⟩</w:t>
      </w:r>
      <w:r>
        <w:rPr>
          <w:rStyle w:val="ColorGray"/>
        </w:rPr>
        <w:t xml:space="preserve"> </w:t>
      </w:r>
      <w:r>
        <w:t xml:space="preserve">vand{y}ate rājarājaḥ ↝</w:t>
      </w:r>
    </w:p>
    <w:p>
      <w:pPr>
        <w:pStyle w:val="BodyText"/>
      </w:pPr>
      <w:r>
        <w:t xml:space="preserve">86.</w:t>
      </w:r>
      <w:r>
        <w:t xml:space="preserve"> </w:t>
      </w:r>
      <w:hyperlink r:id="rId9">
        <w:r>
          <w:rPr>
            <w:rStyle w:val="Hyperlink"/>
          </w:rPr>
          <w:t xml:space="preserve">Anuṣṭubh</w:t>
        </w:r>
      </w:hyperlink>
    </w:p>
    <w:p>
      <w:pPr>
        <w:pStyle w:val="BodyText"/>
      </w:pPr>
      <w:r>
        <w:t xml:space="preserve">bahubhir vvasudhā datt</w:t>
      </w:r>
      <w:r>
        <w:rPr>
          <w:rStyle w:val="ColorRed"/>
        </w:rPr>
        <w:t xml:space="preserve">¿a(ṁ)?</w:t>
      </w:r>
      <w:r>
        <w:rPr>
          <w:rStyle w:val="ColorGreen"/>
        </w:rPr>
        <w:t xml:space="preserve">⟨ā⟩</w:t>
      </w:r>
      <w:r>
        <w:br/>
      </w:r>
      <w:r>
        <w:t xml:space="preserve">rājabhis sagar-ādibhiḥ</w:t>
      </w:r>
      <w:r>
        <w:br/>
      </w:r>
      <w:r>
        <w:t xml:space="preserve">yasya yasya yadā</w:t>
      </w:r>
      <w:r>
        <w:rPr>
          <w:rStyle w:val="ColorGray"/>
        </w:rPr>
        <w:t xml:space="preserve"> </w:t>
      </w:r>
      <w:r>
        <w:rPr>
          <w:rStyle w:val="ColorGray"/>
        </w:rPr>
        <w:t xml:space="preserve">⟨7r15=206⟩</w:t>
      </w:r>
      <w:r>
        <w:rPr>
          <w:rStyle w:val="ColorGray"/>
        </w:rPr>
        <w:t xml:space="preserve"> </w:t>
      </w:r>
      <w:r>
        <w:t xml:space="preserve">bhūmis</w:t>
      </w:r>
      <w:r>
        <w:br/>
      </w:r>
      <w:r>
        <w:t xml:space="preserve">tasya tasya tadā phalam· ↝</w:t>
      </w:r>
    </w:p>
    <w:p>
      <w:pPr>
        <w:pStyle w:val="BodyText"/>
      </w:pPr>
      <w:r>
        <w:t xml:space="preserve">87. Uncertain meter</w:t>
      </w:r>
    </w:p>
    <w:p>
      <w:pPr>
        <w:pStyle w:val="BodyText"/>
      </w:pPr>
      <w:r>
        <w:t xml:space="preserve">pariṇatan adhiśaya(ṁ) madhurāntaka-brahmādhirājan a</w:t>
      </w:r>
      <w:r>
        <w:rPr>
          <w:rStyle w:val="ColorGray"/>
        </w:rPr>
        <w:t xml:space="preserve">⟨Page 7v⟩</w:t>
      </w:r>
      <w:r>
        <w:rPr>
          <w:rStyle w:val="ColorGray"/>
        </w:rPr>
        <w:t xml:space="preserve">⟨7v1=207⟩</w:t>
      </w:r>
      <w:r>
        <w:t xml:space="preserve">(tanva) śāsanam eva</w:t>
      </w:r>
      <w:r>
        <w:br/>
      </w:r>
      <w:r>
        <w:t xml:space="preserve">deśa-madhye sva-pati-kāryya-viniścy-ārtthaṁ buddhiḥ kr̥ta (śaśi)-bhūṣaṇa</w:t>
      </w:r>
      <w:r>
        <w:rPr>
          <w:rStyle w:val="ColorGray"/>
        </w:rPr>
        <w:t xml:space="preserve">⟨7v2=208⟩</w:t>
      </w:r>
      <w:r>
        <w:t xml:space="preserve">-paṇḍitena sārddhaṁ ↝</w:t>
      </w:r>
    </w:p>
    <w:p>
      <w:pPr>
        <w:pStyle w:val="Heading2"/>
      </w:pPr>
      <w:r>
        <w:t xml:space="preserve">Plates: Tamil portion 3 of 3</w:t>
      </w:r>
    </w:p>
    <w:p>
      <w:pPr>
        <w:pStyle w:val="FirstParagraph"/>
      </w:pPr>
      <w:r>
        <w:rPr>
          <w:rStyle w:val="ColorGray"/>
        </w:rPr>
        <w:t xml:space="preserve">⟨Page 7v⟩</w:t>
      </w:r>
      <w:r>
        <w:rPr>
          <w:rStyle w:val="ColorGray"/>
        </w:rPr>
        <w:t xml:space="preserve"> </w:t>
      </w:r>
      <w:r>
        <w:t xml:space="preserve">tiru-vāy-moḻin=t-aruḷa I-</w:t>
      </w:r>
      <w:r>
        <w:rPr>
          <w:b/>
          <w:bCs/>
        </w:rPr>
        <w:t xml:space="preserve">śāsa</w:t>
      </w:r>
      <w:r>
        <w:t xml:space="preserve">na-Eḻuttu veṭṭi⌈</w:t>
      </w:r>
      <w:r>
        <w:rPr>
          <w:rStyle w:val="ColorGray"/>
        </w:rPr>
        <w:t xml:space="preserve">⟨7v3=209⟩</w:t>
      </w:r>
      <w:r>
        <w:rPr>
          <w:rStyle w:val="ColorMagenta"/>
        </w:rPr>
        <w:t xml:space="preserve">¡n!</w:t>
      </w:r>
      <w:r>
        <w:rPr>
          <w:rStyle w:val="ColorBlue"/>
        </w:rPr>
        <w:t xml:space="preserve">⟨ṉ⟩</w:t>
      </w:r>
      <w:r>
        <w:t xml:space="preserve">ē</w:t>
      </w:r>
      <w:r>
        <w:rPr>
          <w:rStyle w:val="ColorMagenta"/>
        </w:rPr>
        <w:t xml:space="preserve">¡n!</w:t>
      </w:r>
      <w:r>
        <w:rPr>
          <w:rStyle w:val="ColorBlue"/>
        </w:rPr>
        <w:t xml:space="preserve">⟨ṉ⟩</w:t>
      </w:r>
      <w:r>
        <w:t xml:space="preserve"> </w:t>
      </w:r>
      <w:r>
        <w:t xml:space="preserve">kuvaḷāḷa-nāṭṭu-k kuvaḷāḷatt’ irukkun= taccācāriya</w:t>
      </w:r>
      <w:r>
        <w:rPr>
          <w:rStyle w:val="ColorMagenta"/>
        </w:rPr>
        <w:t xml:space="preserve">¡n!</w:t>
      </w:r>
      <w:r>
        <w:rPr>
          <w:rStyle w:val="ColorBlue"/>
        </w:rPr>
        <w:t xml:space="preserve">⟨ṉ⟩</w:t>
      </w:r>
      <w:r>
        <w:t xml:space="preserve"> </w:t>
      </w:r>
      <w:r>
        <w:t xml:space="preserve">caṅkaraṉ kāṭāṭi</w:t>
      </w:r>
      <w:r>
        <w:rPr>
          <w:rStyle w:val="ColorGray"/>
        </w:rPr>
        <w:t xml:space="preserve"> </w:t>
      </w:r>
      <w:r>
        <w:rPr>
          <w:rStyle w:val="ColorGray"/>
        </w:rPr>
        <w:t xml:space="preserve">⟨7v4=210⟩</w:t>
      </w:r>
      <w:r>
        <w:rPr>
          <w:rStyle w:val="ColorGray"/>
        </w:rPr>
        <w:t xml:space="preserve"> </w:t>
      </w:r>
      <w:r>
        <w:t xml:space="preserve">y-ā</w:t>
      </w:r>
      <w:r>
        <w:rPr>
          <w:rStyle w:val="ColorMagenta"/>
        </w:rPr>
        <w:t xml:space="preserve">¡n!</w:t>
      </w:r>
      <w:r>
        <w:rPr>
          <w:rStyle w:val="ColorBlue"/>
        </w:rPr>
        <w:t xml:space="preserve">⟨ṉ⟩</w:t>
      </w:r>
      <w:r>
        <w:t xml:space="preserve">a karuṇākara-Ācāriyaṉ ↝</w:t>
      </w:r>
    </w:p>
    <w:p>
      <w:pPr>
        <w:pStyle w:val="BodyText"/>
      </w:pPr>
      <w:r>
        <w:t xml:space="preserve">Aṟa⟨m⟩ maṟavaṟ(k)ka ⟨A⟩ṟam allatu tuṇai</w:t>
      </w:r>
      <w:r>
        <w:rPr>
          <w:rStyle w:val="ColorGray"/>
        </w:rPr>
        <w:t xml:space="preserve"> </w:t>
      </w:r>
      <w:r>
        <w:rPr>
          <w:rStyle w:val="ColorGray"/>
        </w:rPr>
        <w:t xml:space="preserve">⟨7v5=211⟩</w:t>
      </w:r>
      <w:r>
        <w:rPr>
          <w:rStyle w:val="ColorGray"/>
        </w:rPr>
        <w:t xml:space="preserve"> </w:t>
      </w:r>
      <w:r>
        <w:t xml:space="preserve">y-illai ↝</w:t>
      </w:r>
    </w:p>
    <w:p>
      <w:pPr>
        <w:pStyle w:val="BodyText"/>
      </w:pPr>
      <w:r>
        <w:t xml:space="preserve">prāṇi parihar(i)kka ↝</w:t>
      </w:r>
    </w:p>
    <w:p>
      <w:pPr>
        <w:pStyle w:val="Heading1"/>
      </w:pPr>
      <w:r>
        <w:t xml:space="preserve">Apparatus</w:t>
      </w:r>
    </w:p>
    <w:p>
      <w:pPr>
        <w:pStyle w:val="Heading2"/>
      </w:pPr>
      <w:r>
        <w:t xml:space="preserve">Plates</w:t>
      </w:r>
    </w:p>
    <w:p>
      <w:pPr>
        <w:pStyle w:val="FirstParagraph"/>
      </w:pPr>
      <w:r>
        <w:rPr>
          <w:rStyle w:val="ColorGray"/>
        </w:rPr>
        <w:t xml:space="preserve">⟨7r12=203⟩</w:t>
      </w:r>
      <w:r>
        <w:t xml:space="preserve"> </w:t>
      </w:r>
      <w:r>
        <w:t xml:space="preserve">sukr̥tam idam … • As noted by EI, this verse is corrupted. See suggestions of emendations in EI (p. 264, fn. 5), with further suggestions by Chhabra, the editor of EI 25. This verse is in fact borrowed from Pallava charters. See e.g. IP 121, st. 29, where the verse is correct.</w:t>
      </w:r>
    </w:p>
    <w:p>
      <w:pPr>
        <w:pStyle w:val="Heading1"/>
      </w:pPr>
      <w:r>
        <w:t xml:space="preserve">Translation</w:t>
      </w:r>
    </w:p>
    <w:p>
      <w:pPr>
        <w:pStyle w:val="Heading2"/>
      </w:pPr>
      <w:r>
        <w:t xml:space="preserve">Plates: Sanskrit portion 1 of 2</w:t>
      </w:r>
    </w:p>
    <w:p>
      <w:pPr>
        <w:pStyle w:val="FirstParagraph"/>
      </w:pPr>
      <w:r>
        <w:rPr>
          <w:rStyle w:val="ColorGray"/>
        </w:rPr>
        <w:t xml:space="preserve">⟨1⟩</w:t>
      </w:r>
      <w:r>
        <w:t xml:space="preserve"> </w:t>
      </w:r>
      <w:r>
        <w:t xml:space="preserve">Prosperity! Fortune!</w:t>
      </w:r>
    </w:p>
    <w:p>
      <w:pPr>
        <w:pStyle w:val="BodyText"/>
      </w:pPr>
      <w:r>
        <w:t xml:space="preserve">...</w:t>
      </w:r>
    </w:p>
    <w:p>
      <w:pPr>
        <w:pStyle w:val="Heading2"/>
      </w:pPr>
      <w:r>
        <w:t xml:space="preserve">Plates: Tamil portion 3 of 3</w:t>
      </w:r>
    </w:p>
    <w:p>
      <w:pPr>
        <w:pStyle w:val="FirstParagraph"/>
      </w:pPr>
      <w:r>
        <w:rPr>
          <w:rStyle w:val="ColorGray"/>
        </w:rPr>
        <w:t xml:space="preserve">⟨209⟩</w:t>
      </w:r>
      <w:r>
        <w:t xml:space="preserve"> </w:t>
      </w:r>
      <w:r>
        <w:t xml:space="preserve">I, Karuṇākara Ācārya, alias Saṅkara Kāṭāṭi, master carpenter residing in Kuvaḷālam</w:t>
      </w:r>
      <w:r>
        <w:rPr>
          <w:rStyle w:val="FootnoteReference"/>
        </w:rPr>
        <w:footnoteReference w:id="11"/>
      </w:r>
      <w:r>
        <w:t xml:space="preserve"> </w:t>
      </w:r>
      <w:r>
        <w:t xml:space="preserve">in Kuvaḷālanāṭu, I have engraved the letters of this order while ⟨the king⟩ graciously uttered ⟨it⟩ with his glorious mouth.</w:t>
      </w:r>
    </w:p>
    <w:p>
      <w:pPr>
        <w:pStyle w:val="BodyText"/>
      </w:pPr>
      <w:r>
        <w:rPr>
          <w:rStyle w:val="ColorGray"/>
        </w:rPr>
        <w:t xml:space="preserve">⟨210⟩</w:t>
      </w:r>
      <w:r>
        <w:t xml:space="preserve"> </w:t>
      </w:r>
      <w:r>
        <w:t xml:space="preserve">Do not forget virtue/</w:t>
      </w:r>
      <w:r>
        <w:rPr>
          <w:i/>
          <w:iCs/>
        </w:rPr>
        <w:t xml:space="preserve">dharma</w:t>
      </w:r>
      <w:r>
        <w:t xml:space="preserve"> </w:t>
      </w:r>
      <w:r>
        <w:t xml:space="preserve">(</w:t>
      </w:r>
      <w:r>
        <w:rPr>
          <w:i/>
          <w:iCs/>
        </w:rPr>
        <w:t xml:space="preserve">aṟam</w:t>
      </w:r>
      <w:r>
        <w:t xml:space="preserve">). Other than virtue/</w:t>
      </w:r>
      <w:r>
        <w:rPr>
          <w:i/>
          <w:iCs/>
        </w:rPr>
        <w:t xml:space="preserve">dharma</w:t>
      </w:r>
      <w:r>
        <w:t xml:space="preserve"> </w:t>
      </w:r>
      <w:r>
        <w:t xml:space="preserve">(</w:t>
      </w:r>
      <w:r>
        <w:rPr>
          <w:i/>
          <w:iCs/>
        </w:rPr>
        <w:t xml:space="preserve">aṟam</w:t>
      </w:r>
      <w:r>
        <w:t xml:space="preserve">), there is no refuge/help/support (</w:t>
      </w:r>
      <w:r>
        <w:rPr>
          <w:i/>
          <w:iCs/>
        </w:rPr>
        <w:t xml:space="preserve">tuṇai</w:t>
      </w:r>
      <w:r>
        <w:t xml:space="preserve">).</w:t>
      </w:r>
    </w:p>
    <w:p>
      <w:pPr>
        <w:pStyle w:val="BodyText"/>
      </w:pPr>
      <w:r>
        <w:rPr>
          <w:rStyle w:val="ColorGray"/>
        </w:rPr>
        <w:t xml:space="preserve">⟨211⟩</w:t>
      </w:r>
      <w:r>
        <w:t xml:space="preserve"> </w:t>
      </w:r>
      <w:r>
        <w:t xml:space="preserve">Sentient beings should protect ⟨this donation⟩!</w:t>
      </w:r>
    </w:p>
    <w:p>
      <w:pPr>
        <w:pStyle w:val="Heading1"/>
      </w:pPr>
      <w:r>
        <w:t xml:space="preserve">Bibliography</w:t>
      </w:r>
    </w:p>
    <w:p>
      <w:pPr>
        <w:pStyle w:val="FirstParagraph"/>
      </w:pPr>
      <w:r>
        <w:t xml:space="preserve">Reported in ARIE 1937–38 (ARIE/1937-1938/A/1937-1938/1).</w:t>
      </w:r>
    </w:p>
    <w:p>
      <w:pPr>
        <w:pStyle w:val="BodyText"/>
      </w:pPr>
      <w:r>
        <w:t xml:space="preserve">Edited and translated in Ramanatha Ayyar &amp; Venkatasubba Ayyar 1939–1940 (EI 25.25).</w:t>
      </w:r>
    </w:p>
    <w:p>
      <w:pPr>
        <w:pStyle w:val="BodyText"/>
      </w:pPr>
      <w:r>
        <w:t xml:space="preserve">This edition by Emmanuel Francis (2024), based on Ramanatha Ayyar &amp; Venkatasubba Ayyar 1939–1940.</w:t>
      </w:r>
    </w:p>
    <w:p>
      <w:pPr>
        <w:pStyle w:val="Heading2"/>
      </w:pPr>
      <w:r>
        <w:t xml:space="preserve">Primary</w:t>
      </w:r>
    </w:p>
    <w:p>
      <w:pPr>
        <w:pStyle w:val="FirstParagraph"/>
      </w:pPr>
      <w:r>
        <w:rPr>
          <w:b/>
          <w:bCs/>
        </w:rPr>
        <w:t xml:space="preserve">[EI]</w:t>
      </w:r>
      <w:r>
        <w:t xml:space="preserve"> </w:t>
      </w:r>
      <w:r>
        <w:t xml:space="preserve">Ramanatha Ayyar, A. S. &amp; V. Venkatasubba Ayyar. 1939–1940. “Charala plates of Virarajendradeva: Śaka 991.”</w:t>
      </w:r>
      <w:r>
        <w:t xml:space="preserve"> </w:t>
      </w:r>
      <w:r>
        <w:rPr>
          <w:i/>
          <w:iCs/>
        </w:rPr>
        <w:t xml:space="preserve">Epigraphia Indica</w:t>
      </w:r>
      <w:r>
        <w:t xml:space="preserve"> </w:t>
      </w:r>
      <w:r>
        <w:t xml:space="preserve">25, pp. 241–266.</w:t>
      </w:r>
    </w:p>
    <w:p>
      <w:pPr>
        <w:pStyle w:val="Heading2"/>
      </w:pPr>
      <w:r>
        <w:t xml:space="preserve">Secondary</w:t>
      </w:r>
    </w:p>
    <w:p>
      <w:pPr>
        <w:pStyle w:val="FirstParagraph"/>
      </w:pPr>
      <w:r>
        <w:t xml:space="preserve">ARIE 1937–38.</w:t>
      </w:r>
      <w:r>
        <w:t xml:space="preserve"> </w:t>
      </w:r>
      <w:r>
        <w:rPr>
          <w:i/>
          <w:iCs/>
        </w:rPr>
        <w:t xml:space="preserve">Annual report on South Indian epigraphy for the year ending 31st March 1938</w:t>
      </w:r>
      <w:r>
        <w:t xml:space="preserve">. Edited by C. R. Krishnamacharlu. Delhi: Government of India, 1942. Page 6, appendixes A/1937-1938, item 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That is, Kōlār, in Karnataka.</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91"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9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Cārāla plates, time of Rājendra / Rājakesarin Vīrarājendra, year 32</dc:title>
  <dc:creator>Emmanuel Francis</dc:creator>
  <cp:keywords/>
  <dcterms:created xsi:type="dcterms:W3CDTF">2026-10-26T16:04:57Z</dcterms:created>
  <dcterms:modified xsi:type="dcterms:W3CDTF">2026-10-26T16:04:57Z</dcterms:modified>
</cp:coreProperties>
</file>

<file path=docProps/custom.xml><?xml version="1.0" encoding="utf-8"?>
<Properties xmlns="http://schemas.openxmlformats.org/officeDocument/2006/custom-properties" xmlns:vt="http://schemas.openxmlformats.org/officeDocument/2006/docPropsVTypes"/>
</file>