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Nallūr, time of Aticcaṉ Kōtai, year 2+11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DHARMA_INSTamilNadu00174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File path: DHARMA_INSTamilNadu00174.xml</w:t>
      </w:r>
    </w:p>
    <w:p>
      <w:pPr>
        <w:pStyle w:val="BodyText"/>
      </w:pPr>
      <w:r>
        <w:t xml:space="preserve">Language: Tamil [Grantha, Vaṭṭeḻuttu]</w:t>
      </w:r>
    </w:p>
    <w:p>
      <w:pPr>
        <w:pStyle w:val="BodyText"/>
      </w:pPr>
      <w:r>
        <w:t xml:space="preserve">Commit: 2026-10-26 12:34 (3c3ee14), last modified 2026-10-26 12:34 (3c3ee14)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Four inscribed stones / pieces, preserved in the Krishnapuram Palace Museum in Kāyaṅkuḷam. About 12th century according to ASI transcript.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Piece I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kōvātticaṅ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⟨A2⟩</w:t>
      </w:r>
      <w:r>
        <w:rPr>
          <w:rStyle w:val="ColorGray"/>
        </w:rPr>
        <w:t xml:space="preserve"> </w:t>
      </w:r>
      <w:r>
        <w:t xml:space="preserve">(kō)tai [3+] kkut [3+] ḻutti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⟨A3⟩</w:t>
      </w:r>
      <w:r>
        <w:rPr>
          <w:rStyle w:val="ColorGray"/>
        </w:rPr>
        <w:t xml:space="preserve"> </w:t>
      </w:r>
      <w:r>
        <w:t xml:space="preserve">ṭṭu ce(llā) niṉṟa yāṇṭu ...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⟨A4–A9⟩</w:t>
      </w:r>
      <w:r>
        <w:rPr>
          <w:rStyle w:val="ColorGray"/>
        </w:rPr>
        <w:t xml:space="preserve"> </w:t>
      </w:r>
      <w:r>
        <w:t xml:space="preserve">...</w:t>
      </w:r>
    </w:p>
    <w:p>
      <w:pPr>
        <w:pStyle w:val="Heading2"/>
      </w:pPr>
      <w:r>
        <w:t xml:space="preserve">Piece II</w:t>
      </w:r>
    </w:p>
    <w:p>
      <w:pPr>
        <w:pStyle w:val="FirstParagraph"/>
      </w:pPr>
      <w:r>
        <w:rPr>
          <w:rStyle w:val="ColorGray"/>
        </w:rPr>
        <w:t xml:space="preserve">⟨B1–B8⟩</w:t>
      </w:r>
      <w:r>
        <w:rPr>
          <w:rStyle w:val="ColorGray"/>
        </w:rPr>
        <w:t xml:space="preserve"> </w:t>
      </w:r>
      <w:r>
        <w:t xml:space="preserve">...</w:t>
      </w:r>
    </w:p>
    <w:p>
      <w:pPr>
        <w:pStyle w:val="Heading2"/>
      </w:pPr>
      <w:r>
        <w:t xml:space="preserve">Piece III</w:t>
      </w:r>
    </w:p>
    <w:p>
      <w:pPr>
        <w:pStyle w:val="FirstParagraph"/>
      </w:pPr>
      <w:r>
        <w:rPr>
          <w:rStyle w:val="ColorGray"/>
        </w:rPr>
        <w:t xml:space="preserve">⟨C1⟩</w:t>
      </w:r>
      <w:r>
        <w:rPr>
          <w:rStyle w:val="ColorGray"/>
        </w:rPr>
        <w:t xml:space="preserve"> </w:t>
      </w:r>
      <w:r>
        <w:t xml:space="preserve">[4+] laimai-viruttiyum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⟨C2⟩</w:t>
      </w:r>
      <w:r>
        <w:rPr>
          <w:rStyle w:val="ColorGray"/>
        </w:rPr>
        <w:t xml:space="preserve"> </w:t>
      </w:r>
      <w:r>
        <w:t xml:space="preserve">pāratamum niruttappuṟamum cā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⟨C3⟩</w:t>
      </w:r>
      <w:r>
        <w:rPr>
          <w:rStyle w:val="ColorGray"/>
        </w:rPr>
        <w:t xml:space="preserve"> </w:t>
      </w:r>
      <w:r>
        <w:t xml:space="preserve">nti-viruttiyum kaḻi tuya(l e)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⟨C4⟩</w:t>
      </w:r>
      <w:r>
        <w:rPr>
          <w:rStyle w:val="ColorGray"/>
        </w:rPr>
        <w:t xml:space="preserve"> </w:t>
      </w:r>
      <w:r>
        <w:t xml:space="preserve">riya [1+] ve vaicciyār kut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⟨C5⟩</w:t>
      </w:r>
      <w:r>
        <w:rPr>
          <w:rStyle w:val="ColorGray"/>
        </w:rPr>
        <w:t xml:space="preserve"> </w:t>
      </w:r>
      <w:r>
        <w:t xml:space="preserve">[1+] vat(tu) poti cānti-virutti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⟨C6⟩</w:t>
      </w:r>
      <w:r>
        <w:rPr>
          <w:rStyle w:val="ColorGray"/>
        </w:rPr>
        <w:t xml:space="preserve"> </w:t>
      </w:r>
      <w:r>
        <w:t xml:space="preserve">kavatoṉṟi po(tu) nāṉāḻi tiru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⟨C7⟩</w:t>
      </w:r>
      <w:r>
        <w:rPr>
          <w:rStyle w:val="ColorGray"/>
        </w:rPr>
        <w:t xml:space="preserve"> </w:t>
      </w:r>
      <w:r>
        <w:t xml:space="preserve">vamirtum Oru nantā-viḷakkun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⟨C8⟩</w:t>
      </w:r>
      <w:r>
        <w:rPr>
          <w:rStyle w:val="ColorGray"/>
        </w:rPr>
        <w:t xml:space="preserve"> </w:t>
      </w:r>
      <w:r>
        <w:t xml:space="preserve">tivicatti Aññūṟṟu nāḻiyum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⟨C9⟩</w:t>
      </w:r>
      <w:r>
        <w:rPr>
          <w:rStyle w:val="ColorGray"/>
        </w:rPr>
        <w:t xml:space="preserve"> </w:t>
      </w:r>
      <w:r>
        <w:t xml:space="preserve">Āṭṭai-k ko [4+] tavitam [1+]</w:t>
      </w:r>
    </w:p>
    <w:p>
      <w:pPr>
        <w:pStyle w:val="Heading2"/>
      </w:pPr>
      <w:r>
        <w:t xml:space="preserve">Piece II</w:t>
      </w:r>
    </w:p>
    <w:p>
      <w:pPr>
        <w:pStyle w:val="FirstParagraph"/>
      </w:pPr>
      <w:r>
        <w:rPr>
          <w:rStyle w:val="ColorGray"/>
        </w:rPr>
        <w:t xml:space="preserve">⟨D1–D9⟩</w:t>
      </w:r>
      <w:r>
        <w:rPr>
          <w:rStyle w:val="ColorGray"/>
        </w:rPr>
        <w:t xml:space="preserve"> </w:t>
      </w:r>
      <w:r>
        <w:t xml:space="preserve">...</w:t>
      </w:r>
    </w:p>
    <w:p>
      <w:pPr>
        <w:pStyle w:val="Heading1"/>
      </w:pPr>
      <w:r>
        <w:t xml:space="preserve">Translation</w:t>
      </w:r>
    </w:p>
    <w:p>
      <w:pPr>
        <w:pStyle w:val="Heading2"/>
      </w:pPr>
      <w:r>
        <w:t xml:space="preserve">Piece I</w:t>
      </w:r>
    </w:p>
    <w:p>
      <w:pPr>
        <w:pStyle w:val="FirstParagraph"/>
      </w:pPr>
      <w:r>
        <w:rPr>
          <w:rStyle w:val="ColorGray"/>
        </w:rPr>
        <w:t xml:space="preserve">⟨A1⟩</w:t>
      </w:r>
      <w:r>
        <w:t xml:space="preserve"> </w:t>
      </w:r>
      <w:r>
        <w:t xml:space="preserve">Prosperity! Fortune!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1970–71 (ARIE/1970-1971/B/1970-197/65).</w:t>
      </w:r>
    </w:p>
    <w:p>
      <w:pPr>
        <w:pStyle w:val="BodyText"/>
      </w:pPr>
      <w:r>
        <w:t xml:space="preserve">This edition by Emmanuel Francis based on ASI estampage and transcript available on BharatSHRI.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[ASI]</w:t>
      </w:r>
      <w:r>
        <w:t xml:space="preserve"> </w:t>
      </w:r>
      <w:r>
        <w:t xml:space="preserve">No name. N.d. “ASI transcript.”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1970–71.</w:t>
      </w:r>
      <w:r>
        <w:t xml:space="preserve"> </w:t>
      </w:r>
      <w:r>
        <w:rPr>
          <w:i/>
          <w:iCs/>
        </w:rPr>
        <w:t xml:space="preserve">Annual report on Indian epigraphy for 1970-71</w:t>
      </w:r>
      <w:r>
        <w:t xml:space="preserve">. Edited by G. S. Gai. New Delhi: Archaeological Survey of India, 1980. Page 40, appendixes B/1970-1971, item 65.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Nallūr, time of Aticcaṉ Kōtai, year 2+11</dc:title>
  <dc:creator>Emmanuel Francis</dc:creator>
  <cp:keywords/>
  <dcterms:created xsi:type="dcterms:W3CDTF">2026-11-06T00:27:26Z</dcterms:created>
  <dcterms:modified xsi:type="dcterms:W3CDTF">2026-11-06T00:27:26Z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