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Ōrakam, Bhagavati temple, time of Rājamahendra, year 2</w:t>
      </w:r>
    </w:p>
    <w:p>
      <w:pPr>
        <w:pStyle w:val="Author"/>
      </w:pPr>
      <w:r>
        <w:t xml:space="preserve">Emmanuel Francis</w:t>
      </w:r>
    </w:p>
    <w:p>
      <w:pPr>
        <w:pStyle w:val="FirstParagraph"/>
      </w:pPr>
      <w:r>
        <w:t xml:space="preserve">Author of digital edition: Emmanuel Francis</w:t>
      </w:r>
    </w:p>
    <w:p>
      <w:pPr>
        <w:pStyle w:val="BodyText"/>
      </w:pPr>
      <w:r>
        <w:t xml:space="preserve">Identifier: DHARMA_INSTamilNadu00173</w:t>
      </w:r>
    </w:p>
    <w:p>
      <w:pPr>
        <w:pStyle w:val="BodyText"/>
      </w:pPr>
      <w:r>
        <w:t xml:space="preserve">Repository: Tamil Nadu (varia) (tfa-tamilnadu-epigraphy)</w:t>
      </w:r>
    </w:p>
    <w:p>
      <w:pPr>
        <w:pStyle w:val="BodyText"/>
      </w:pPr>
      <w:r>
        <w:t xml:space="preserve">File path: DHARMA_INSTamilNadu00173.xml</w:t>
      </w:r>
    </w:p>
    <w:p>
      <w:pPr>
        <w:pStyle w:val="BodyText"/>
      </w:pPr>
      <w:r>
        <w:t xml:space="preserve">Language: Tamil [Grantha, Vaṭṭeḻuttu]</w:t>
      </w:r>
    </w:p>
    <w:p>
      <w:pPr>
        <w:pStyle w:val="BodyText"/>
      </w:pPr>
      <w:r>
        <w:t xml:space="preserve">Commit: 2026-10-26 12:34 (3c3ee14), last modified 2026-10-26 12:34 (3c3ee14)</w:t>
      </w:r>
    </w:p>
    <w:p>
      <w:pPr>
        <w:pStyle w:val="Heading1"/>
      </w:pPr>
      <w:r>
        <w:t xml:space="preserve">Summary</w:t>
      </w:r>
    </w:p>
    <w:p>
      <w:pPr>
        <w:pStyle w:val="FirstParagraph"/>
      </w:pPr>
      <w:r>
        <w:t xml:space="preserve">About 10th century according to ASI transcript.</w:t>
      </w:r>
    </w:p>
    <w:p>
      <w:r>
        <w:pict>
          <v:rect style="width:0;height:1.5pt" o:hralign="center" o:hrstd="t" o:hr="t"/>
        </w:pict>
      </w:r>
    </w:p>
    <w:p>
      <w:pPr>
        <w:pStyle w:val="Heading1"/>
      </w:pPr>
      <w:r>
        <w:t xml:space="preserve">Edition</w:t>
      </w:r>
    </w:p>
    <w:p>
      <w:pPr>
        <w:pStyle w:val="FirstParagraph"/>
      </w:pPr>
      <w:r>
        <w:rPr>
          <w:rStyle w:val="ColorGray"/>
        </w:rPr>
        <w:t xml:space="preserve"> </w:t>
      </w:r>
      <w:r>
        <w:rPr>
          <w:rStyle w:val="ColorGray"/>
        </w:rPr>
        <w:t xml:space="preserve">⟨1⟩</w:t>
      </w:r>
      <w:r>
        <w:rPr>
          <w:rStyle w:val="ColorGray"/>
        </w:rPr>
        <w:t xml:space="preserve"> </w:t>
      </w:r>
      <w:r>
        <w:rPr>
          <w:b/>
          <w:bCs/>
        </w:rPr>
        <w:t xml:space="preserve">svasti śrī</w:t>
      </w:r>
    </w:p>
    <w:p>
      <w:pPr>
        <w:pStyle w:val="BodyText"/>
      </w:pPr>
      <w:r>
        <w:t xml:space="preserve">puriyaṉūr mukkāl vaṭṭat</w:t>
      </w:r>
      <w:r>
        <w:rPr>
          <w:rStyle w:val="ColorGray"/>
        </w:rPr>
        <w:t xml:space="preserve">⟨2⟩</w:t>
      </w:r>
      <w:r>
        <w:t xml:space="preserve">tuk kūṭi y-ūrār Avirōtattāṟ cey</w:t>
      </w:r>
      <w:r>
        <w:rPr>
          <w:rStyle w:val="ColorGray"/>
        </w:rPr>
        <w:t xml:space="preserve">⟨3⟩</w:t>
      </w:r>
      <w:r>
        <w:t xml:space="preserve">ta kaccam āvatu</w:t>
      </w:r>
    </w:p>
    <w:p>
      <w:pPr>
        <w:pStyle w:val="BodyText"/>
      </w:pPr>
      <w:r>
        <w:t xml:space="preserve">paṭāriyār-uṭaiya nicca</w:t>
      </w:r>
      <w:r>
        <w:rPr>
          <w:rStyle w:val="ColorGray"/>
        </w:rPr>
        <w:t xml:space="preserve">⟨4⟩</w:t>
      </w:r>
      <w:r>
        <w:t xml:space="preserve">ṉa vaiyāyuḷḷavai paṭaikkum patuṇ niru</w:t>
      </w:r>
      <w:r>
        <w:rPr>
          <w:rStyle w:val="ColorGray"/>
        </w:rPr>
        <w:t xml:space="preserve">⟨5⟩</w:t>
      </w:r>
      <w:r>
        <w:t xml:space="preserve">māliyamum nantā-viḷakkum Oḻukka</w:t>
      </w:r>
      <w:r>
        <w:rPr>
          <w:rStyle w:val="ColorGray"/>
        </w:rPr>
        <w:t xml:space="preserve">⟨6⟩</w:t>
      </w:r>
      <w:r>
        <w:t xml:space="preserve">viyum nāḷ paṅkum pāratamun kū</w:t>
      </w:r>
      <w:r>
        <w:rPr>
          <w:rStyle w:val="ColorGray"/>
        </w:rPr>
        <w:t xml:space="preserve">⟨7⟩</w:t>
      </w:r>
      <w:r>
        <w:t xml:space="preserve">ttum paliyum taccum ivai Oṉpatum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⟨8⟩</w:t>
      </w:r>
      <w:r>
        <w:rPr>
          <w:rStyle w:val="ColorGray"/>
        </w:rPr>
        <w:t xml:space="preserve"> </w:t>
      </w:r>
      <w:r>
        <w:t xml:space="preserve">vilakkapeṟār vilakkuvō(r)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⟨9⟩</w:t>
      </w:r>
      <w:r>
        <w:rPr>
          <w:rStyle w:val="ColorGray"/>
        </w:rPr>
        <w:t xml:space="preserve"> </w:t>
      </w:r>
      <w:r>
        <w:t xml:space="preserve">mūḻikkaḷatt’ oḻukka viccava</w:t>
      </w:r>
      <w:r>
        <w:rPr>
          <w:rStyle w:val="ColorGray"/>
        </w:rPr>
        <w:t xml:space="preserve">⟨10⟩</w:t>
      </w:r>
      <w:r>
        <w:t xml:space="preserve">ttai piḻaiccōr āvōr Aṟamuṅ kūṭ(ār?)</w:t>
      </w:r>
    </w:p>
    <w:p>
      <w:pPr>
        <w:pStyle w:val="Heading1"/>
      </w:pPr>
      <w:r>
        <w:t xml:space="preserve">Translation</w:t>
      </w:r>
    </w:p>
    <w:p>
      <w:pPr>
        <w:pStyle w:val="FirstParagraph"/>
      </w:pPr>
      <w:r>
        <w:rPr>
          <w:rStyle w:val="ColorGray"/>
        </w:rPr>
        <w:t xml:space="preserve">⟨1⟩</w:t>
      </w:r>
      <w:r>
        <w:t xml:space="preserve"> </w:t>
      </w:r>
      <w:r>
        <w:t xml:space="preserve">Prosperity! Fortune!</w:t>
      </w:r>
    </w:p>
    <w:p>
      <w:pPr>
        <w:pStyle w:val="BodyText"/>
      </w:pPr>
      <w:r>
        <w:rPr>
          <w:rStyle w:val="ColorGray"/>
        </w:rPr>
        <w:t xml:space="preserve">⟨1–3⟩</w:t>
      </w:r>
      <w:r>
        <w:t xml:space="preserve"> </w:t>
      </w:r>
      <w:r>
        <w:t xml:space="preserve">This is the agreement that the members of village assembly (</w:t>
      </w:r>
      <w:r>
        <w:rPr>
          <w:i/>
          <w:iCs/>
        </w:rPr>
        <w:t xml:space="preserve">ūrār</w:t>
      </w:r>
      <w:r>
        <w:t xml:space="preserve">) made amicably having assembled ...</w:t>
      </w:r>
    </w:p>
    <w:p>
      <w:pPr>
        <w:pStyle w:val="BodyText"/>
      </w:pPr>
      <w:r>
        <w:rPr>
          <w:rStyle w:val="ColorGray"/>
        </w:rPr>
        <w:t xml:space="preserve">⟨3–⟩</w:t>
      </w:r>
      <w:r>
        <w:t xml:space="preserve"> </w:t>
      </w:r>
      <w:r>
        <w:t xml:space="preserve">... a ..., a daily offering of food (</w:t>
      </w:r>
      <w:r>
        <w:rPr>
          <w:i/>
          <w:iCs/>
        </w:rPr>
        <w:t xml:space="preserve">nirumāliyam</w:t>
      </w:r>
      <w:r>
        <w:rPr>
          <w:rStyle w:val="FootnoteReference"/>
        </w:rPr>
        <w:footnoteReference w:id="9"/>
      </w:r>
      <w:r>
        <w:t xml:space="preserve">), a perpetual lamp, a daily offering of food (</w:t>
      </w:r>
      <w:r>
        <w:rPr>
          <w:i/>
          <w:iCs/>
        </w:rPr>
        <w:t xml:space="preserve">oḷukkavi</w:t>
      </w:r>
      <w:r>
        <w:t xml:space="preserve">), a day share (?) (</w:t>
      </w:r>
      <w:r>
        <w:rPr>
          <w:i/>
          <w:iCs/>
        </w:rPr>
        <w:t xml:space="preserve">nāḷ paṅkum</w:t>
      </w:r>
      <w:r>
        <w:t xml:space="preserve">), a Bhārata (</w:t>
      </w:r>
      <w:r>
        <w:rPr>
          <w:i/>
          <w:iCs/>
        </w:rPr>
        <w:t xml:space="preserve">pāratam</w:t>
      </w:r>
      <w:r>
        <w:t xml:space="preserve">), a dance (</w:t>
      </w:r>
      <w:r>
        <w:rPr>
          <w:i/>
          <w:iCs/>
        </w:rPr>
        <w:t xml:space="preserve">kūttu</w:t>
      </w:r>
      <w:r>
        <w:t xml:space="preserve">), an offering (</w:t>
      </w:r>
      <w:r>
        <w:rPr>
          <w:i/>
          <w:iCs/>
        </w:rPr>
        <w:t xml:space="preserve">pali</w:t>
      </w:r>
      <w:r>
        <w:rPr>
          <w:rStyle w:val="FootnoteReference"/>
        </w:rPr>
        <w:footnoteReference w:id="10"/>
      </w:r>
      <w:r>
        <w:t xml:space="preserve">), a carpenter’s work (</w:t>
      </w:r>
      <w:r>
        <w:rPr>
          <w:i/>
          <w:iCs/>
        </w:rPr>
        <w:t xml:space="preserve">taccu</w:t>
      </w:r>
      <w:r>
        <w:t xml:space="preserve">), these nine things ...</w:t>
      </w:r>
    </w:p>
    <w:p>
      <w:pPr>
        <w:pStyle w:val="Heading1"/>
      </w:pPr>
      <w:r>
        <w:t xml:space="preserve">Bibliography</w:t>
      </w:r>
    </w:p>
    <w:p>
      <w:pPr>
        <w:pStyle w:val="FirstParagraph"/>
      </w:pPr>
      <w:r>
        <w:t xml:space="preserve">Reported in ARIE 1975–76 (ARIE/1975-1976/B/1975-1976/152).</w:t>
      </w:r>
    </w:p>
    <w:p>
      <w:pPr>
        <w:pStyle w:val="BodyText"/>
      </w:pPr>
      <w:r>
        <w:t xml:space="preserve">This edition by Emmanuel Francis based on ASI estampage and transcript available on BharatSHRI.</w:t>
      </w:r>
    </w:p>
    <w:p>
      <w:pPr>
        <w:pStyle w:val="Heading2"/>
      </w:pPr>
      <w:r>
        <w:t xml:space="preserve">Primary</w:t>
      </w:r>
    </w:p>
    <w:p>
      <w:pPr>
        <w:pStyle w:val="FirstParagraph"/>
      </w:pPr>
      <w:r>
        <w:rPr>
          <w:b/>
          <w:bCs/>
        </w:rPr>
        <w:t xml:space="preserve">[ASI]</w:t>
      </w:r>
      <w:r>
        <w:t xml:space="preserve"> </w:t>
      </w:r>
      <w:r>
        <w:t xml:space="preserve">No name. N.d. “ASI transcript.”</w:t>
      </w:r>
    </w:p>
    <w:p>
      <w:pPr>
        <w:pStyle w:val="Heading2"/>
      </w:pPr>
      <w:r>
        <w:t xml:space="preserve">Secondary</w:t>
      </w:r>
    </w:p>
    <w:p>
      <w:pPr>
        <w:pStyle w:val="FirstParagraph"/>
      </w:pPr>
      <w:r>
        <w:rPr>
          <w:b/>
          <w:bCs/>
        </w:rPr>
        <w:t xml:space="preserve">[ARIE]</w:t>
      </w:r>
      <w:r>
        <w:t xml:space="preserve"> </w:t>
      </w:r>
      <w:r>
        <w:t xml:space="preserve">ARIE 1975–76.</w:t>
      </w:r>
      <w:r>
        <w:t xml:space="preserve"> </w:t>
      </w:r>
      <w:r>
        <w:rPr>
          <w:i/>
          <w:iCs/>
        </w:rPr>
        <w:t xml:space="preserve">Annual report on Indian epigraphy for 1975-76</w:t>
      </w:r>
      <w:r>
        <w:t xml:space="preserve">. Edited by K. R. Srinivasan. New Delhi: Archaeological Survey of India, 1986. Page 60, appendixes B/1975-1976, item 152.</w:t>
      </w:r>
    </w:p>
    <w:sectPr>
      <w:footnotePr>
        <w:numFmt w:val="decimal"/>
        <w:numRestart w:val="eachSect"/>
      </w:footnotePr>
      <w:type w:val="nextPage"/>
      <w:pgSz w:h="15840" w:w="12240"/>
      <w:pgMar w:bottom="1440" w:footer="0" w:gutter="0" w:header="0" w:left="1440" w:right="1440" w:top="1440"/>
      <w:pgNumType w:fmt="decimal"/>
      <w:formProt w:val="false"/>
      <w:textDirection w:val="lrTb"/>
      <w:docGrid w:charSpace="0" w:linePitch="100" w:type="default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ptos">
    <w:charset w:val="01"/>
    <w:family w:val="auto"/>
    <w:pitch w:val="default"/>
  </w:font>
  <w:font w:name="Gentium">
    <w:charset w:val="01"/>
    <w:family w:val="auto"/>
    <w:pitch w:val="default"/>
  </w:font>
  <w:font w:name="Aptos Display">
    <w:charset w:val="01"/>
    <w:family w:val="auto"/>
    <w:pitch w:val="default"/>
  </w:font>
  <w:font w:name="Consolas">
    <w:charset w:val="01"/>
    <w:family w:val="auto"/>
    <w:pitch w:val="default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  <w:footnote w:id="9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Sanskrit</w:t>
      </w:r>
      <w:r>
        <w:t xml:space="preserve"> </w:t>
      </w:r>
      <w:r>
        <w:rPr>
          <w:i/>
          <w:iCs/>
        </w:rPr>
        <w:t xml:space="preserve">nirmālya</w:t>
      </w:r>
      <w:r>
        <w:t xml:space="preserve">.</w:t>
      </w:r>
    </w:p>
  </w:footnote>
  <w:footnote w:id="10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Sanskrit</w:t>
      </w:r>
      <w:r>
        <w:t xml:space="preserve"> </w:t>
      </w:r>
      <w:r>
        <w:rPr>
          <w:i/>
          <w:iCs/>
        </w:rPr>
        <w:t xml:space="preserve">bali</w:t>
      </w:r>
      <w:r>
        <w:t xml:space="preserve">.</w:t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>
    <w:abstractNumId w:val="1"/>
  </w:num>
  <w:num w:numId="2">
    <w:abstractNumId w:val="2"/>
  </w: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75"/>
  <w:embedSystemFonts/>
  <w:proofState w:grammar="clean" w:spelling="clean"/>
  <w:stylePaneFormatFilter w:val="0004"/>
  <w:doNotTrackMoves/>
  <w:defaultTabStop w:val="720"/>
  <w:autoHyphenation w:val="true"/>
  <w:hyphenationZone w:val="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compatSetting w:name="compatibilityMode" w:uri="http://schemas.microsoft.com/office/word" w:val="12"/>
  </w:compat>
  <w:rsids>
  </w:rsids>
  <w:themeFontLang w:bidi="" w:eastAsia="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Aptos" w:asciiTheme="minorHAnsi" w:cs="" w:cstheme="minorBidi" w:eastAsia="Aptos" w:eastAsiaTheme="minorHAnsi" w:hAnsi="Aptos" w:hAnsiTheme="minorHAnsi"/>
        <w:sz w:val="24"/>
        <w:szCs w:val="24"/>
        <w:lang w:bidi="ar-SA" w:eastAsia="en-US" w:val="en-US"/>
      </w:rPr>
    </w:rPrDefault>
    <w:pPrDefault>
      <w:pPr>
        <w:suppressAutoHyphens w:val="true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widowControl/>
      <w:suppressAutoHyphens w:val="true"/>
      <w:bidi w:val="0"/>
      <w:spacing w:after="200" w:before="0" w:line="276" w:lineRule="auto"/>
      <w:jc w:val="left"/>
    </w:pPr>
    <w:rPr>
      <w:rFonts w:ascii="Gentium" w:cs="" w:cstheme="minorBidi" w:eastAsia="Aptos" w:eastAsiaTheme="minorHAnsi" w:hAnsi="Gentium"/>
      <w:color w:val="auto"/>
      <w:kern w:val="0"/>
      <w:sz w:val="24"/>
      <w:szCs w:val="24"/>
      <w:lang w:bidi="ar-SA" w:eastAsia="en-US" w:val="en-US"/>
    </w:rPr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 w:val="true"/>
      <w:keepLines/>
      <w:spacing w:after="80" w:before="360" w:line="240" w:lineRule="auto"/>
      <w:outlineLvl w:val="0"/>
    </w:pPr>
    <w:rPr>
      <w:rFonts w:ascii="Gentium" w:cs="" w:cstheme="majorBidi" w:eastAsia="" w:eastAsiaTheme="majorEastAsia" w:hAnsi="Gentium"/>
      <w:color w:val="auto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 w:val="true"/>
      <w:keepLines/>
      <w:spacing w:after="80" w:before="160"/>
      <w:outlineLvl w:val="1"/>
    </w:pPr>
    <w:rPr>
      <w:rFonts w:ascii="Gentium" w:cs="" w:cstheme="majorBidi" w:eastAsia="" w:eastAsiaTheme="majorEastAsia" w:hAnsi="Gentium"/>
      <w:color w:val="000000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 w:val="true"/>
      <w:keepLines/>
      <w:spacing w:after="80" w:before="160"/>
      <w:outlineLvl w:val="2"/>
    </w:pPr>
    <w:rPr>
      <w:rFonts w:ascii="Gentium" w:cs="" w:cstheme="majorBidi" w:eastAsia="" w:eastAsiaTheme="majorEastAsia" w:hAnsi="Gentium"/>
      <w:color w:val="000000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 w:val="true"/>
      <w:keepLines/>
      <w:spacing w:after="40" w:before="80"/>
      <w:outlineLvl w:val="3"/>
    </w:pPr>
    <w:rPr>
      <w:rFonts w:ascii="Gentium" w:cs="" w:cstheme="majorBidi" w:eastAsia="" w:eastAsiaTheme="majorEastAsia" w:hAnsi="Gentium"/>
      <w:i/>
      <w:iCs/>
      <w:color w:val="000000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 w:val="true"/>
      <w:keepLines/>
      <w:spacing w:after="40" w:before="80"/>
      <w:outlineLvl w:val="4"/>
    </w:pPr>
    <w:rPr>
      <w:rFonts w:ascii="Gentium" w:cs="" w:cstheme="majorBidi" w:eastAsia="" w:eastAsiaTheme="majorEastAsia" w:hAnsi="Gentium"/>
      <w:color w:val="000000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 w:val="true"/>
      <w:keepLines/>
      <w:spacing w:after="0" w:before="40"/>
      <w:outlineLvl w:val="5"/>
    </w:pPr>
    <w:rPr>
      <w:rFonts w:ascii="Gentium" w:cs="" w:cstheme="majorBidi" w:eastAsia="" w:eastAsiaTheme="majorEastAsia" w:hAnsi="Gentium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 w:val="true"/>
      <w:keepLines/>
      <w:spacing w:after="0" w:before="40"/>
      <w:outlineLvl w:val="6"/>
    </w:pPr>
    <w:rPr>
      <w:rFonts w:ascii="Gentium" w:cs="" w:cstheme="majorBidi" w:eastAsia="" w:eastAsiaTheme="majorEastAsia" w:hAnsi="Gentium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 w:val="true"/>
      <w:keepLines/>
      <w:spacing w:after="0" w:before="0"/>
      <w:outlineLvl w:val="7"/>
    </w:pPr>
    <w:rPr>
      <w:rFonts w:ascii="Gentium" w:cs="" w:cstheme="majorBidi" w:eastAsia="" w:eastAsiaTheme="majorEastAsia" w:hAnsi="Gentium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 w:val="true"/>
      <w:keepLines/>
      <w:spacing w:after="0" w:before="0"/>
      <w:outlineLvl w:val="8"/>
    </w:pPr>
    <w:rPr>
      <w:rFonts w:ascii="Gentium" w:cs="" w:cstheme="majorBidi" w:eastAsia="" w:eastAsiaTheme="majorEastAsia" w:hAnsi="Gentium"/>
      <w:color w:themeColor="text1" w:themeTint="d8" w:val="272727"/>
    </w:rPr>
  </w:style>
  <w:style w:customStyle="1" w:styleId="TitleChar" w:type="character">
    <w:name w:val="Title Char"/>
    <w:basedOn w:val="DefaultParagraphFont"/>
    <w:link w:val="Title"/>
    <w:uiPriority w:val="10"/>
    <w:qFormat/>
    <w:rsid w:val="00a10fd9"/>
    <w:rPr>
      <w:rFonts w:ascii="Aptos Display" w:asciiTheme="majorHAnsi" w:cs="" w:cstheme="majorBidi" w:eastAsia="" w:eastAsiaTheme="majorEastAsia" w:hAnsi="Aptos Display" w:hAnsiTheme="majorHAnsi"/>
      <w:sz w:val="56"/>
      <w:szCs w:val="56"/>
    </w:rPr>
  </w:style>
  <w:style w:customStyle="1" w:styleId="SubtitleChar" w:type="character">
    <w:name w:val="Subtitle Char"/>
    <w:basedOn w:val="DefaultParagraphFont"/>
    <w:link w:val="Subtitle"/>
    <w:uiPriority w:val="11"/>
    <w:qFormat/>
    <w:rsid w:val="00a10fd9"/>
    <w:rPr>
      <w:rFonts w:cs="" w:cstheme="majorBidi" w:eastAsia="" w:eastAsiaTheme="majorEastAsia"/>
      <w:color w:themeColor="text1" w:themeTint="a6" w:val="595959"/>
      <w:spacing w:val="15"/>
      <w:sz w:val="28"/>
      <w:szCs w:val="28"/>
    </w:rPr>
  </w:style>
  <w:style w:customStyle="1" w:styleId="Heading1Char" w:type="character">
    <w:name w:val="Heading 1 Char"/>
    <w:basedOn w:val="DefaultParagraphFont"/>
    <w:link w:val="Heading1"/>
    <w:uiPriority w:val="9"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qFormat/>
    <w:rsid w:val="00a10fd9"/>
    <w:rPr>
      <w:rFonts w:cs="" w:cstheme="majorBidi" w:eastAsia="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qFormat/>
    <w:rsid w:val="00a10fd9"/>
    <w:rPr>
      <w:rFonts w:cs="" w:cstheme="majorBidi" w:eastAsia="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qFormat/>
    <w:rsid w:val="00a10fd9"/>
    <w:rPr>
      <w:rFonts w:cs="" w:cstheme="majorBidi" w:eastAsia="" w:eastAsiaTheme="majorEastAsia"/>
      <w:color w:themeColor="text1" w:themeTint="d8" w:val="272727"/>
    </w:rPr>
  </w:style>
  <w:style w:default="1" w:styleId="DefaultParagraphFont" w:type="character">
    <w:name w:val="Default Paragraph Font"/>
    <w:semiHidden/>
    <w:unhideWhenUsed/>
    <w:qFormat/>
    <w:rPr/>
  </w:style>
  <w:style w:customStyle="1" w:styleId="BodyTextChar" w:type="character">
    <w:name w:val="Body Text Char"/>
    <w:basedOn w:val="DefaultParagraphFont"/>
    <w:qFormat/>
    <w:rPr/>
  </w:style>
  <w:style w:customStyle="1" w:styleId="VerbatimChar" w:type="character">
    <w:name w:val="Verbatim Char"/>
    <w:basedOn w:val="BodyTextChar"/>
    <w:qFormat/>
    <w:rPr>
      <w:rFonts w:ascii="Consolas" w:hAnsi="Consolas"/>
      <w:sz w:val="22"/>
    </w:rPr>
  </w:style>
  <w:style w:customStyle="1" w:styleId="SectionNumber" w:type="character">
    <w:name w:val="Section Number"/>
    <w:basedOn w:val="BodyTextChar"/>
    <w:qFormat/>
    <w:rPr/>
  </w:style>
  <w:style w:styleId="FootnoteCharactersuser" w:type="character">
    <w:name w:val="Footnote Characters (user)"/>
    <w:qFormat/>
    <w:rPr>
      <w:vertAlign w:val="superscript"/>
    </w:rPr>
  </w:style>
  <w:style w:styleId="FootnoteCharacters" w:type="character">
    <w:name w:val="Footnote Characters"/>
    <w:qFormat/>
    <w:rPr>
      <w:vertAlign w:val="superscript"/>
    </w:rPr>
  </w:style>
  <w:style w:styleId="FootnoteReference" w:type="character">
    <w:name w:val="footnote reference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ColorGray" w:type="character">
    <w:name w:val="ColorGray"/>
    <w:basedOn w:val="BodyTextChar"/>
    <w:qFormat/>
    <w:rPr>
      <w:color w:val="666666"/>
    </w:rPr>
  </w:style>
  <w:style w:styleId="ColorGreen" w:type="character">
    <w:name w:val="ColorGreen"/>
    <w:basedOn w:val="DefaultParagraphFont"/>
    <w:qFormat/>
    <w:rPr>
      <w:color w:val="069A2E"/>
    </w:rPr>
  </w:style>
  <w:style w:styleId="ColorBrown" w:type="character">
    <w:name w:val="ColorBrown"/>
    <w:basedOn w:val="ColorGreen"/>
    <w:qFormat/>
    <w:rPr>
      <w:color w:val="784B04"/>
    </w:rPr>
  </w:style>
  <w:style w:styleId="CaptionCharactersuser" w:type="character">
    <w:name w:val="Caption Characters (user)"/>
    <w:qFormat/>
    <w:rPr/>
  </w:style>
  <w:style w:styleId="ColorRed" w:type="character">
    <w:name w:val="ColorRed"/>
    <w:basedOn w:val="CaptionCharactersuser"/>
    <w:qFormat/>
    <w:rPr>
      <w:color w:val="C9211E"/>
    </w:rPr>
  </w:style>
  <w:style w:styleId="ColorMagenta" w:type="character">
    <w:name w:val="ColorMagenta"/>
    <w:basedOn w:val="ColorBrown"/>
    <w:qFormat/>
    <w:rPr>
      <w:color w:val="800080"/>
    </w:rPr>
  </w:style>
  <w:style w:styleId="ColorBlue" w:type="character">
    <w:name w:val="ColorBlue"/>
    <w:basedOn w:val="ColorGray"/>
    <w:qFormat/>
    <w:rPr>
      <w:color w:val="2A6099"/>
    </w:rPr>
  </w:style>
  <w:style w:styleId="ColorBlack" w:type="character">
    <w:name w:val="ColorBlack"/>
    <w:basedOn w:val="ColorBlue"/>
    <w:qFormat/>
    <w:rPr>
      <w:color w:val="000000"/>
    </w:rPr>
  </w:style>
  <w:style w:styleId="EndnoteCharacters" w:type="character">
    <w:name w:val="Endnote Characters"/>
    <w:qFormat/>
    <w:rPr>
      <w:vertAlign w:val="superscript"/>
    </w:rPr>
  </w:style>
  <w:style w:styleId="EndnoteCharactersuser" w:type="character">
    <w:name w:val="Endnote Characters (user)"/>
    <w:qFormat/>
    <w:rPr>
      <w:vertAlign w:val="superscript"/>
    </w:rPr>
  </w:style>
  <w:style w:styleId="EndnoteReference" w:type="character">
    <w:name w:val="endnote reference"/>
    <w:rPr>
      <w:vertAlign w:val="superscript"/>
    </w:rPr>
  </w:style>
  <w:style w:styleId="Heading" w:type="paragraph">
    <w:name w:val="Heading"/>
    <w:basedOn w:val="Normal"/>
    <w:next w:val="BodyText"/>
    <w:qFormat/>
    <w:pPr>
      <w:keepNext w:val="true"/>
      <w:spacing w:after="120" w:before="240"/>
    </w:pPr>
    <w:rPr>
      <w:rFonts w:ascii="Gentium" w:cs="Noto Sans Devanagari" w:eastAsia="Noto Sans CJK SC" w:hAnsi="Gentium"/>
      <w:sz w:val="28"/>
      <w:szCs w:val="28"/>
    </w:rPr>
  </w:style>
  <w:style w:styleId="BodyText" w:type="paragraph">
    <w:name w:val="Body Text"/>
    <w:basedOn w:val="Normal"/>
    <w:link w:val="BodyTextChar"/>
    <w:qFormat/>
    <w:pPr>
      <w:spacing w:after="180" w:before="180" w:line="276" w:lineRule="auto"/>
    </w:pPr>
    <w:rPr>
      <w:rFonts w:ascii="Gentium" w:hAnsi="Gentium"/>
    </w:rPr>
  </w:style>
  <w:style w:styleId="List" w:type="paragraph">
    <w:name w:val="List"/>
    <w:basedOn w:val="BodyText"/>
    <w:pPr/>
    <w:rPr>
      <w:rFonts w:ascii="Gentium" w:cs="Noto Sans Devanagari" w:hAnsi="Gentium"/>
    </w:rPr>
  </w:style>
  <w:style w:styleId="Caption" w:type="paragraph">
    <w:name w:val="caption"/>
    <w:basedOn w:val="Normal"/>
    <w:link w:val="BodyTextChar"/>
    <w:qFormat/>
    <w:pPr>
      <w:spacing w:after="120" w:before="0"/>
    </w:pPr>
    <w:rPr>
      <w:rFonts w:ascii="Gentium" w:hAnsi="Gentium"/>
      <w:i/>
    </w:rPr>
  </w:style>
  <w:style w:styleId="Index" w:type="paragraph">
    <w:name w:val="Index"/>
    <w:basedOn w:val="Normal"/>
    <w:qFormat/>
    <w:pPr>
      <w:suppressLineNumbers/>
    </w:pPr>
    <w:rPr>
      <w:rFonts w:ascii="Gentium" w:cs="Noto Sans Devanagari" w:hAnsi="Gentium"/>
    </w:rPr>
  </w:style>
  <w:style w:customStyle="1" w:styleId="FirstParagraph" w:type="paragraph">
    <w:name w:val="First Paragraph"/>
    <w:basedOn w:val="BodyText"/>
    <w:next w:val="BodyText"/>
    <w:qFormat/>
    <w:pPr>
      <w:spacing w:line="276" w:lineRule="auto"/>
    </w:pPr>
    <w:rPr>
      <w:rFonts w:ascii="Gentium" w:hAnsi="Gentium"/>
    </w:rPr>
  </w:style>
  <w:style w:customStyle="1" w:styleId="Compact" w:type="paragraph">
    <w:name w:val="Compact"/>
    <w:basedOn w:val="BodyText"/>
    <w:qFormat/>
    <w:pPr>
      <w:spacing w:after="36" w:before="36"/>
    </w:pPr>
    <w:rPr/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before="0" w:line="240" w:lineRule="auto"/>
      <w:contextualSpacing/>
      <w:jc w:val="center"/>
    </w:pPr>
    <w:rPr>
      <w:rFonts w:ascii="Gentium" w:cs="" w:cstheme="majorBidi" w:eastAsia="" w:eastAsiaTheme="majorEastAsia" w:hAnsi="Gentium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/>
    <w:rPr>
      <w:rFonts w:cs="" w:cstheme="majorBidi" w:eastAsia="" w:eastAsiaTheme="majorEastAsia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 w:val="true"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 w:val="true"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 w:val="true"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 w:val="true"/>
      <w:keepLines/>
      <w:spacing w:after="300" w:before="100"/>
    </w:pPr>
    <w:rPr>
      <w:rFonts w:ascii="Gentium" w:hAnsi="Gentium"/>
      <w:sz w:val="20"/>
      <w:szCs w:val="20"/>
    </w:rPr>
  </w:style>
  <w:style w:styleId="Bibliography" w:type="paragraph">
    <w:name w:val="Bibliography"/>
    <w:basedOn w:val="Normal"/>
    <w:qFormat/>
    <w:pPr/>
    <w:rPr/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hanging="0" w:left="480" w:right="480"/>
    </w:pPr>
    <w:rPr/>
  </w:style>
  <w:style w:styleId="FootnoteText" w:type="paragraph">
    <w:name w:val="footnote text"/>
    <w:basedOn w:val="Normal"/>
    <w:uiPriority w:val="9"/>
    <w:unhideWhenUsed/>
    <w:qFormat/>
    <w:pPr/>
    <w:rPr>
      <w:rFonts w:ascii="Gentium" w:hAnsi="Gentium"/>
    </w:rPr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hanging="0" w:left="480" w:right="480"/>
    </w:pPr>
    <w:rPr>
      <w:rFonts w:ascii="Gentium" w:hAnsi="Gentium"/>
    </w:rPr>
  </w:style>
  <w:style w:customStyle="1" w:styleId="DefinitionTerm" w:type="paragraph">
    <w:name w:val="Definition Term"/>
    <w:basedOn w:val="Normal"/>
    <w:next w:val="Definition"/>
    <w:qFormat/>
    <w:pPr>
      <w:keepNext w:val="true"/>
      <w:keepLines/>
      <w:spacing w:after="0" w:before="0"/>
    </w:pPr>
    <w:rPr>
      <w:rFonts w:ascii="Gentium" w:hAnsi="Gentium"/>
      <w:b/>
    </w:rPr>
  </w:style>
  <w:style w:customStyle="1" w:styleId="Definition" w:type="paragraph">
    <w:name w:val="Definition"/>
    <w:basedOn w:val="Normal"/>
    <w:qFormat/>
    <w:pPr>
      <w:ind w:left="475"/>
    </w:pPr>
    <w:rPr>
      <w:rFonts w:ascii="Gentium" w:hAnsi="Gentium"/>
    </w:rPr>
  </w:style>
  <w:style w:customStyle="1" w:styleId="TableCaption" w:type="paragraph">
    <w:name w:val="Table Caption"/>
    <w:basedOn w:val="Caption"/>
    <w:qFormat/>
    <w:pPr>
      <w:keepNext w:val="true"/>
    </w:pPr>
    <w:rPr/>
  </w:style>
  <w:style w:customStyle="1" w:styleId="ImageCaption" w:type="paragraph">
    <w:name w:val="Image Caption"/>
    <w:basedOn w:val="Caption"/>
    <w:qFormat/>
    <w:pPr/>
    <w:rPr/>
  </w:style>
  <w:style w:customStyle="1" w:styleId="Figure" w:type="paragraph">
    <w:name w:val="Figure"/>
    <w:basedOn w:val="Normal"/>
    <w:qFormat/>
    <w:pPr/>
    <w:rPr/>
  </w:style>
  <w:style w:customStyle="1" w:styleId="CaptionedFigure" w:type="paragraph">
    <w:name w:val="Captioned Figure"/>
    <w:basedOn w:val="Figure"/>
    <w:qFormat/>
    <w:pPr>
      <w:keepNext w:val="true"/>
    </w:pPr>
    <w:rPr/>
  </w:style>
  <w:style w:styleId="IndexHeading" w:type="paragraph">
    <w:name w:val="index heading"/>
    <w:basedOn w:val="Heading"/>
    <w:pPr/>
    <w:rPr/>
  </w:style>
  <w:style w:styleId="TOCHeading" w:type="paragraph">
    <w:name w:val="TOC Heading"/>
    <w:basedOn w:val="Heading1"/>
    <w:next w:val="BodyText"/>
    <w:uiPriority w:val="39"/>
    <w:unhideWhenUsed/>
    <w:qFormat/>
    <w:pPr>
      <w:spacing w:after="80" w:before="240" w:line="259" w:lineRule="auto"/>
      <w:outlineLvl w:val="9"/>
    </w:pPr>
    <w:rPr>
      <w:rFonts w:ascii="Aptos Display" w:asciiTheme="majorHAnsi" w:cs="" w:cstheme="majorBidi" w:eastAsia="" w:eastAsiaTheme="majorEastAsia" w:hAnsi="Aptos Display" w:hAnsiTheme="majorHAnsi"/>
      <w:b w:val="false"/>
      <w:bCs w:val="false"/>
      <w:color w:themeColor="accent1" w:themeShade="bf" w:val="365F91"/>
    </w:rPr>
  </w:style>
  <w:style w:styleId="Heading10" w:type="paragraph">
    <w:name w:val="Heading 10"/>
    <w:basedOn w:val="Heading"/>
    <w:next w:val="BodyText"/>
    <w:qFormat/>
    <w:pPr>
      <w:numPr>
        <w:ilvl w:val="8"/>
        <w:numId w:val="1"/>
      </w:numPr>
      <w:spacing w:after="60" w:before="60"/>
      <w:outlineLvl w:val="8"/>
    </w:pPr>
    <w:rPr>
      <w:b/>
      <w:bCs/>
      <w:sz w:val="18"/>
      <w:szCs w:val="18"/>
    </w:rPr>
  </w:style>
  <w:style w:styleId="BodyTextIndent" w:type="paragraph">
    <w:name w:val="Body Text Indent"/>
    <w:basedOn w:val="BodyText"/>
    <w:pPr>
      <w:ind w:hanging="0" w:left="283"/>
    </w:pPr>
    <w:rPr/>
  </w:style>
  <w:style w:styleId="BlockQuotationuser" w:type="paragraph">
    <w:name w:val="Block Quotation (user)"/>
    <w:basedOn w:val="Normal"/>
    <w:qFormat/>
    <w:pPr>
      <w:spacing w:after="283" w:before="0"/>
      <w:ind w:hanging="0" w:left="567" w:right="567"/>
    </w:pPr>
    <w:rPr>
      <w:rFonts w:ascii="Gentium" w:hAnsi="Gentium"/>
    </w:rPr>
  </w:style>
  <w:style w:default="1" w:styleId="Table" w:type="table">
    <w:name w:val="Table"/>
    <w:basedOn w:val="TableNormal"/>
    <w:semiHidden/>
    <w:unhideWhenUsed/>
    <w:qFormat/>
    <w:tblPr>
      <w:tblCellMar>
        <w:top w:type="dxa" w:w="0"/>
        <w:left w:type="dxa" w:w="108"/>
        <w:bottom w:type="dxa" w:w="0"/>
        <w:right w:type="dxa" w:w="108"/>
      </w:tblCellMar>
    </w:tblPr>
    <w:tblStylePr w:type="firstRow">
      <w:tblPr/>
      <w:tcPr>
        <w:tcBorders>
          <w:bottom w:val="single"/>
        </w:tcBorders>
        <w:vAlign w:val="bottom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Application>LibreOffice/26.2.6.3$Linux_X86_64 LibreOffice_project/620$Build-3</Application>
  <AppVersion>15.0000</AppVersion>
  <Pages>2</Pages>
  <Words>60</Words>
  <Characters>366</Characters>
  <CharactersWithSpaces>396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Ōrakam, Bhagavati temple, time of Rājamahendra, year 2</dc:title>
  <dc:creator>Emmanuel Francis</dc:creator>
  <cp:keywords/>
  <dcterms:created xsi:type="dcterms:W3CDTF">2026-11-06T00:28:00Z</dcterms:created>
  <dcterms:modified xsi:type="dcterms:W3CDTF">2026-11-06T00:28:00Z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