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Nallūr, Vilvāraṇyeśvara temple, Kulottuṅga Cōḻa king, year 22</w:t>
      </w:r>
    </w:p>
    <w:p>
      <w:pPr>
        <w:pStyle w:val="Author"/>
      </w:pPr>
      <w:r>
        <w:t xml:space="preserve">Renato Dávalos and Emmanuel Francis</w:t>
      </w:r>
    </w:p>
    <w:p>
      <w:pPr>
        <w:pStyle w:val="FirstParagraph"/>
      </w:pPr>
      <w:r>
        <w:t xml:space="preserve">Authors of digital edition: Renato Dávalos, Emmanuel Francis</w:t>
      </w:r>
    </w:p>
    <w:p>
      <w:pPr>
        <w:pStyle w:val="BodyText"/>
      </w:pPr>
      <w:r>
        <w:t xml:space="preserve">Identifier: DHARMA_INSTamilNadu00047</w:t>
      </w:r>
    </w:p>
    <w:p>
      <w:pPr>
        <w:pStyle w:val="BodyText"/>
      </w:pPr>
      <w:r>
        <w:t xml:space="preserve">Repository: Tamil Nadu (varia) (tfa-tamilnadu-epigraphy)</w:t>
      </w:r>
    </w:p>
    <w:p>
      <w:pPr>
        <w:pStyle w:val="BodyText"/>
      </w:pPr>
      <w:r>
        <w:t xml:space="preserve">File path: DHARMA_INSTamilNadu00047.xml</w:t>
      </w:r>
    </w:p>
    <w:p>
      <w:pPr>
        <w:pStyle w:val="BodyText"/>
      </w:pPr>
      <w:r>
        <w:t xml:space="preserve">Language: Tamil [Grantha, Tamil]</w:t>
      </w:r>
    </w:p>
    <w:p>
      <w:pPr>
        <w:pStyle w:val="BodyText"/>
      </w:pPr>
      <w:r>
        <w:t xml:space="preserve">Commit: 2026-10-23 16:15 (5e3a6fe), last modified 2026-09-29 11:10 (5251b7d)</w:t>
      </w:r>
    </w:p>
    <w:p>
      <w:pPr>
        <w:pStyle w:val="Heading1"/>
      </w:pPr>
      <w:r>
        <w:t xml:space="preserve">Summary</w:t>
      </w:r>
    </w:p>
    <w:p>
      <w:pPr>
        <w:pStyle w:val="FirstParagraph"/>
      </w:pPr>
      <w:r>
        <w:t xml:space="preserve">Records a similar appointment by the</w:t>
      </w:r>
      <w:r>
        <w:t xml:space="preserve"> </w:t>
      </w:r>
      <w:r>
        <w:rPr>
          <w:i/>
          <w:iCs/>
        </w:rPr>
        <w:t xml:space="preserve">tānattār</w:t>
      </w:r>
      <w:r>
        <w:t xml:space="preserve"> </w:t>
      </w:r>
      <w:r>
        <w:t xml:space="preserve">of the temple, of Āḻvi Vaḷaiyamaḷakiyāḷ Patineṇpūmi-Naṅkai, a</w:t>
      </w:r>
      <w:r>
        <w:t xml:space="preserve"> </w:t>
      </w:r>
      <w:r>
        <w:rPr>
          <w:i/>
          <w:iCs/>
        </w:rPr>
        <w:t xml:space="preserve">dēvaraḍiyāḷ</w:t>
      </w:r>
      <w:r>
        <w:t xml:space="preserve">, to sing the</w:t>
      </w:r>
      <w:r>
        <w:t xml:space="preserve"> </w:t>
      </w:r>
      <w:r>
        <w:rPr>
          <w:i/>
          <w:iCs/>
        </w:rPr>
        <w:t xml:space="preserve">Tiruvempāvai</w:t>
      </w:r>
      <w:r>
        <w:t xml:space="preserve"> </w:t>
      </w:r>
      <w:r>
        <w:t xml:space="preserve">(</w:t>
      </w:r>
      <w:r>
        <w:rPr>
          <w:i/>
          <w:iCs/>
        </w:rPr>
        <w:t xml:space="preserve">iraṇṭām-tiruppāṭṭu</w:t>
      </w:r>
      <w:r>
        <w:t xml:space="preserve">) and to dance before the deity on specified occasions, for three</w:t>
      </w:r>
      <w:r>
        <w:t xml:space="preserve"> </w:t>
      </w:r>
      <w:r>
        <w:rPr>
          <w:i/>
          <w:iCs/>
        </w:rPr>
        <w:t xml:space="preserve">kaḻañju</w:t>
      </w:r>
      <w:r>
        <w:t xml:space="preserve"> </w:t>
      </w:r>
      <w:r>
        <w:t xml:space="preserve">of gold received by them.</w:t>
      </w:r>
    </w:p>
    <w:p>
      <w:pPr>
        <w:pStyle w:val="Heading1"/>
      </w:pPr>
      <w:r>
        <w:t xml:space="preserve">Palaeographic description</w:t>
      </w:r>
    </w:p>
    <w:p>
      <w:pPr>
        <w:pStyle w:val="FirstParagraph"/>
      </w:pPr>
      <w:r>
        <w:t xml:space="preserve">No distinction between</w:t>
      </w:r>
      <w:r>
        <w:t xml:space="preserve"> </w:t>
      </w:r>
      <w:r>
        <w:rPr>
          <w:i/>
          <w:iCs/>
        </w:rPr>
        <w:t xml:space="preserve">e</w:t>
      </w:r>
      <w:r>
        <w:t xml:space="preserve"> </w:t>
      </w:r>
      <w:r>
        <w:t xml:space="preserve">and</w:t>
      </w:r>
      <w:r>
        <w:t xml:space="preserve"> </w:t>
      </w:r>
      <w:r>
        <w:rPr>
          <w:i/>
          <w:iCs/>
        </w:rPr>
        <w:t xml:space="preserve">ē</w:t>
      </w:r>
      <w:r>
        <w:t xml:space="preserve">,</w:t>
      </w:r>
      <w:r>
        <w:t xml:space="preserve"> </w:t>
      </w:r>
      <w:r>
        <w:rPr>
          <w:i/>
          <w:iCs/>
        </w:rPr>
        <w:t xml:space="preserve">o</w:t>
      </w:r>
      <w:r>
        <w:t xml:space="preserve"> </w:t>
      </w:r>
      <w:r>
        <w:t xml:space="preserve">and</w:t>
      </w:r>
      <w:r>
        <w:t xml:space="preserve"> </w:t>
      </w:r>
      <w:r>
        <w:rPr>
          <w:i/>
          <w:iCs/>
        </w:rPr>
        <w:t xml:space="preserve">ō</w:t>
      </w:r>
      <w:r>
        <w:t xml:space="preserv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p>
    <w:p>
      <w:pPr>
        <w:pStyle w:val="BodyText"/>
      </w:pPr>
      <w:r>
        <w:t xml:space="preserve">tiri</w:t>
      </w:r>
      <w:r>
        <w:rPr>
          <w:b/>
          <w:bCs/>
        </w:rPr>
        <w:t xml:space="preserve">bhu</w:t>
      </w:r>
      <w:r>
        <w:t xml:space="preserve">vaṉa-c-ca(k)kara-vatt(i)ka</w:t>
      </w:r>
      <w:r>
        <w:rPr>
          <w:rStyle w:val="ColorGray"/>
        </w:rPr>
        <w:t xml:space="preserve">⟨2⟩</w:t>
      </w:r>
      <w:r>
        <w:t xml:space="preserve">ḷ</w:t>
      </w:r>
      <w:r>
        <w:t xml:space="preserve"> </w:t>
      </w:r>
      <w:r>
        <w:rPr>
          <w:b/>
          <w:bCs/>
        </w:rPr>
        <w:t xml:space="preserve">śrī</w:t>
      </w:r>
      <w:r>
        <w:t xml:space="preserve">-kulōttuṅka-(c)ōḻa-tēvaṟku yā[ṇ]</w:t>
      </w:r>
      <w:r>
        <w:rPr>
          <w:rStyle w:val="ColorGray"/>
        </w:rPr>
        <w:t xml:space="preserve">⟨3⟩</w:t>
      </w:r>
      <w:r>
        <w:t xml:space="preserve">ṭu 2 10 2 Āvatu</w:t>
      </w:r>
    </w:p>
    <w:p>
      <w:pPr>
        <w:pStyle w:val="BodyText"/>
      </w:pPr>
      <w:r>
        <w:t xml:space="preserve">Uṭaiy(ār) nalla nāya</w:t>
      </w:r>
      <w:r>
        <w:rPr>
          <w:rStyle w:val="ColorMagenta"/>
        </w:rPr>
        <w:t xml:space="preserve">¡n!</w:t>
      </w:r>
      <w:r>
        <w:rPr>
          <w:rStyle w:val="ColorBlue"/>
        </w:rPr>
        <w:t xml:space="preserve">⟨ṉ⟩</w:t>
      </w:r>
      <w:r>
        <w:t xml:space="preserve">ār kō</w:t>
      </w:r>
      <w:r>
        <w:rPr>
          <w:rStyle w:val="ColorGray"/>
        </w:rPr>
        <w:t xml:space="preserve">⟨4⟩</w:t>
      </w:r>
      <w:r>
        <w:t xml:space="preserve">[yil tēvar Aṭiy]āril Ā[ḻ](vi)-(vaḷaiyam?) aḻaki( y-ā)</w:t>
      </w:r>
      <w:r>
        <w:rPr>
          <w:rStyle w:val="ColorGray"/>
        </w:rPr>
        <w:t xml:space="preserve">⟨5⟩</w:t>
      </w:r>
      <w:r>
        <w:t xml:space="preserve">ṉa pati[ṉ]eṇ-p(ū)mi-naṅkai</w:t>
      </w:r>
    </w:p>
    <w:p>
      <w:pPr>
        <w:pStyle w:val="FirstParagraph"/>
        <w:numPr>
          <w:ilvl w:val="0"/>
          <w:numId w:val="1001"/>
        </w:numPr>
      </w:pPr>
      <w:r>
        <w:t xml:space="preserve">In{ā}-nāya</w:t>
      </w:r>
      <w:r>
        <w:rPr>
          <w:rStyle w:val="ColorMagenta"/>
        </w:rPr>
        <w:t xml:space="preserve">¡n!</w:t>
      </w:r>
      <w:r>
        <w:rPr>
          <w:rStyle w:val="ColorBlue"/>
        </w:rPr>
        <w:t xml:space="preserve">⟨ṉ⟩</w:t>
      </w:r>
      <w:r>
        <w:t xml:space="preserve">ar kōyil (tiru)</w:t>
      </w:r>
      <w:r>
        <w:rPr>
          <w:rStyle w:val="ColorGray"/>
        </w:rPr>
        <w:t xml:space="preserve">⟨6⟩</w:t>
      </w:r>
      <w:r>
        <w:t xml:space="preserve">v</w:t>
      </w:r>
      <w:r>
        <w:rPr>
          <w:rStyle w:val="ColorMagenta"/>
        </w:rPr>
        <w:t xml:space="preserve">¡a!</w:t>
      </w:r>
      <w:r>
        <w:rPr>
          <w:rStyle w:val="ColorBlue"/>
        </w:rPr>
        <w:t xml:space="preserve">⟨e⟩</w:t>
      </w:r>
      <w:r>
        <w:t xml:space="preserve">mpā(v)ai [I](ra)ṇṭā[n] tiru-p-pāṭṭu pāṭavum</w:t>
      </w:r>
    </w:p>
    <w:p>
      <w:pPr>
        <w:pStyle w:val="FirstParagraph"/>
        <w:numPr>
          <w:ilvl w:val="0"/>
          <w:numId w:val="1001"/>
        </w:numPr>
      </w:pPr>
      <w:r>
        <w:t xml:space="preserve">tiruvē[ṭṭai]</w:t>
      </w:r>
      <w:r>
        <w:rPr>
          <w:rStyle w:val="ColorGray"/>
        </w:rPr>
        <w:t xml:space="preserve"> </w:t>
      </w:r>
      <w:r>
        <w:rPr>
          <w:rStyle w:val="ColorGray"/>
        </w:rPr>
        <w:t xml:space="preserve">⟨7⟩</w:t>
      </w:r>
      <w:r>
        <w:rPr>
          <w:rStyle w:val="ColorGray"/>
        </w:rPr>
        <w:t xml:space="preserve"> </w:t>
      </w:r>
      <w:r>
        <w:t xml:space="preserve">Iravōla[kka]m pāttiram [iṭa]-k kaṭavaḷ ākavum</w:t>
      </w:r>
    </w:p>
    <w:p>
      <w:pPr>
        <w:pStyle w:val="FirstParagraph"/>
      </w:pPr>
      <w:r>
        <w:t xml:space="preserve">tiruvēṭ(ṭ)ai</w:t>
      </w:r>
      <w:r>
        <w:rPr>
          <w:rStyle w:val="ColorGray"/>
        </w:rPr>
        <w:t xml:space="preserve"> </w:t>
      </w:r>
      <w:r>
        <w:rPr>
          <w:rStyle w:val="ColorGray"/>
        </w:rPr>
        <w:t xml:space="preserve">⟨8⟩</w:t>
      </w:r>
      <w:r>
        <w:rPr>
          <w:rStyle w:val="ColorGray"/>
        </w:rPr>
        <w:t xml:space="preserve"> </w:t>
      </w:r>
      <w:r>
        <w:t xml:space="preserve">Iraṇṭā[m] p[āṭ]ṭ[ai] v-eṉṟa-k kaṭavaḷ āka Ippaṭikku In-⟨nā⟩</w:t>
      </w:r>
      <w:r>
        <w:rPr>
          <w:rStyle w:val="ColorGray"/>
        </w:rPr>
        <w:t xml:space="preserve">⟨9⟩</w:t>
      </w:r>
      <w:r>
        <w:t xml:space="preserve">yaṉār c</w:t>
      </w:r>
      <w:r>
        <w:rPr>
          <w:rStyle w:val="ColorRed"/>
        </w:rPr>
        <w:t xml:space="preserve">¿i?</w:t>
      </w:r>
      <w:r>
        <w:rPr>
          <w:rStyle w:val="ColorGreen"/>
        </w:rPr>
        <w:t xml:space="preserve">⟨ī⟩</w:t>
      </w:r>
      <w:r>
        <w:t xml:space="preserve">-pa[ṇṭāra]tt’ oṭukkiṉa veṭṭu māṟi po(ṉ) mu-(k-ka)⟨⟨ḻañ⟩⟩</w:t>
      </w:r>
      <w:r>
        <w:rPr>
          <w:rStyle w:val="ColorGray"/>
        </w:rPr>
        <w:t xml:space="preserve">⟨10⟩</w:t>
      </w:r>
      <w:r>
        <w:t xml:space="preserve">⟨⟨cum⟩⟩ c</w:t>
      </w:r>
      <w:r>
        <w:rPr>
          <w:rStyle w:val="ColorRed"/>
        </w:rPr>
        <w:t xml:space="preserve">¿i?</w:t>
      </w:r>
      <w:r>
        <w:rPr>
          <w:rStyle w:val="ColorGreen"/>
        </w:rPr>
        <w:t xml:space="preserve">⟨ī⟩</w:t>
      </w:r>
      <w:r>
        <w:t xml:space="preserve">-paṇṭ(ārat)t’ oṭukki-k-koṇ(ṭu) Āticaṇṭēcura-tē[var]</w:t>
      </w:r>
      <w:r>
        <w:rPr>
          <w:rStyle w:val="ColorGray"/>
        </w:rPr>
        <w:t xml:space="preserve"> </w:t>
      </w:r>
      <w:r>
        <w:rPr>
          <w:rStyle w:val="ColorGray"/>
        </w:rPr>
        <w:t xml:space="preserve">⟨11⟩</w:t>
      </w:r>
      <w:r>
        <w:rPr>
          <w:rStyle w:val="ColorGray"/>
        </w:rPr>
        <w:t xml:space="preserve"> </w:t>
      </w:r>
      <w:r>
        <w:t xml:space="preserve">tiruvaruḷḷāl ivaḷukku kāṇiyā(ka ku)ṭuttōm I</w:t>
      </w:r>
      <w:r>
        <w:rPr>
          <w:rStyle w:val="ColorMagenta"/>
        </w:rPr>
        <w:t xml:space="preserve">¡ṉ!</w:t>
      </w:r>
      <w:r>
        <w:rPr>
          <w:rStyle w:val="ColorBlue"/>
        </w:rPr>
        <w:t xml:space="preserve">⟨n⟩</w:t>
      </w:r>
      <w:r>
        <w:t xml:space="preserve">-nāya</w:t>
      </w:r>
      <w:r>
        <w:rPr>
          <w:rStyle w:val="ColorMagenta"/>
        </w:rPr>
        <w:t xml:space="preserve">¡n!</w:t>
      </w:r>
      <w:r>
        <w:rPr>
          <w:rStyle w:val="ColorBlue"/>
        </w:rPr>
        <w:t xml:space="preserve">⟨ṉ⟩</w:t>
      </w:r>
      <w:r>
        <w:t xml:space="preserve">ā</w:t>
      </w:r>
      <w:r>
        <w:rPr>
          <w:rStyle w:val="ColorGray"/>
        </w:rPr>
        <w:t xml:space="preserve">⟨12⟩</w:t>
      </w:r>
      <w:r>
        <w:t xml:space="preserve">r kōyil tāṉattōm</w:t>
      </w:r>
    </w:p>
    <w:p>
      <w:pPr>
        <w:pStyle w:val="BodyText"/>
      </w:pPr>
      <w:r>
        <w:rPr>
          <w:rStyle w:val="ColorGray"/>
        </w:rPr>
        <w:t xml:space="preserve">⟨13⟩</w:t>
      </w:r>
      <w:r>
        <w:rPr>
          <w:rStyle w:val="ColorGray"/>
        </w:rPr>
        <w:t xml:space="preserve"> </w:t>
      </w:r>
      <w:r>
        <w:t xml:space="preserve">⟨⟨[3+] ṉa ga tu</w:t>
      </w:r>
      <w:r>
        <w:rPr>
          <w:rStyle w:val="ColorGray"/>
        </w:rPr>
        <w:t xml:space="preserve"> </w:t>
      </w:r>
      <w:r>
        <w:rPr>
          <w:rStyle w:val="ColorGray"/>
        </w:rPr>
        <w:t xml:space="preserve">⟨14⟩</w:t>
      </w:r>
      <w:r>
        <w:rPr>
          <w:rStyle w:val="ColorGray"/>
        </w:rPr>
        <w:t xml:space="preserve"> </w:t>
      </w:r>
      <w:r>
        <w:t xml:space="preserve">leka [1+] mu Iva</w:t>
      </w:r>
      <w:r>
        <w:rPr>
          <w:rStyle w:val="ColorGray"/>
        </w:rPr>
        <w:t xml:space="preserve"> </w:t>
      </w:r>
      <w:r>
        <w:rPr>
          <w:rStyle w:val="ColorGray"/>
        </w:rPr>
        <w:t xml:space="preserve">⟨15⟩</w:t>
      </w:r>
      <w:r>
        <w:rPr>
          <w:rStyle w:val="ColorGray"/>
        </w:rPr>
        <w:t xml:space="preserve"> </w:t>
      </w:r>
      <w:r>
        <w:t xml:space="preserve">[1+] ka ka ta ya ta ya⟩⟩</w:t>
      </w:r>
    </w:p>
    <w:p>
      <w:pPr>
        <w:pStyle w:val="Heading1"/>
      </w:pPr>
      <w:r>
        <w:t xml:space="preserve">Apparatus</w:t>
      </w:r>
    </w:p>
    <w:p>
      <w:pPr>
        <w:pStyle w:val="FirstParagraph"/>
      </w:pPr>
      <w:r>
        <w:rPr>
          <w:rStyle w:val="ColorGray"/>
        </w:rPr>
        <w:t xml:space="preserve">⟨4⟩</w:t>
      </w:r>
      <w:r>
        <w:t xml:space="preserve"> </w:t>
      </w:r>
      <w:r>
        <w:t xml:space="preserve">[yil tēvar Aṭiy] • Reading after ASI transcript.</w:t>
      </w:r>
    </w:p>
    <w:p>
      <w:pPr>
        <w:pStyle w:val="Heading1"/>
      </w:pPr>
      <w:r>
        <w:t xml:space="preserve">Translation</w:t>
      </w:r>
    </w:p>
    <w:p>
      <w:pPr>
        <w:pStyle w:val="FirstParagraph"/>
      </w:pPr>
      <w:r>
        <w:rPr>
          <w:rStyle w:val="ColorGray"/>
        </w:rPr>
        <w:t xml:space="preserve">⟨1⟩</w:t>
      </w:r>
      <w:r>
        <w:t xml:space="preserve"> </w:t>
      </w:r>
      <w:r>
        <w:t xml:space="preserve">Prosperity! Fortune!</w:t>
      </w:r>
    </w:p>
    <w:p>
      <w:pPr>
        <w:pStyle w:val="BodyText"/>
      </w:pPr>
      <w:r>
        <w:rPr>
          <w:rStyle w:val="ColorGray"/>
        </w:rPr>
        <w:t xml:space="preserve">⟨1–7⟩</w:t>
      </w:r>
      <w:r>
        <w:t xml:space="preserve"> </w:t>
      </w:r>
      <w:r>
        <w:t xml:space="preserve">Āḻvi Vaḷaiyam Aḻaki, also known as Patiṉeṇpūmi Naṅkai, a tevaraṭiyār from the temple of the Lord Nalla Nāyaṉār will</w:t>
      </w:r>
    </w:p>
    <w:p>
      <w:pPr>
        <w:pStyle w:val="FirstParagraph"/>
        <w:numPr>
          <w:ilvl w:val="0"/>
          <w:numId w:val="1002"/>
        </w:numPr>
      </w:pPr>
      <w:r>
        <w:t xml:space="preserve">sing (</w:t>
      </w:r>
      <w:r>
        <w:rPr>
          <w:i/>
          <w:iCs/>
        </w:rPr>
        <w:t xml:space="preserve">pāṭavum</w:t>
      </w:r>
      <w:r>
        <w:t xml:space="preserve">) the second song (</w:t>
      </w:r>
      <w:r>
        <w:rPr>
          <w:i/>
          <w:iCs/>
        </w:rPr>
        <w:t xml:space="preserve">iraṇṭām-pāṭṭu</w:t>
      </w:r>
      <w:r>
        <w:t xml:space="preserve">) of the</w:t>
      </w:r>
      <w:r>
        <w:t xml:space="preserve"> </w:t>
      </w:r>
      <w:r>
        <w:rPr>
          <w:i/>
          <w:iCs/>
        </w:rPr>
        <w:t xml:space="preserve">tiruvempāvai</w:t>
      </w:r>
      <w:r>
        <w:t xml:space="preserve"> </w:t>
      </w:r>
      <w:r>
        <w:t xml:space="preserve">⟨in⟩ the temple of this god, as well as</w:t>
      </w:r>
    </w:p>
    <w:p>
      <w:pPr>
        <w:pStyle w:val="FirstParagraph"/>
        <w:numPr>
          <w:ilvl w:val="0"/>
          <w:numId w:val="1002"/>
        </w:numPr>
      </w:pPr>
      <w:r>
        <w:t xml:space="preserve">become responsible (</w:t>
      </w:r>
      <w:r>
        <w:rPr>
          <w:i/>
          <w:iCs/>
        </w:rPr>
        <w:t xml:space="preserve">kaṭavaḷ ākavum</w:t>
      </w:r>
      <w:r>
        <w:t xml:space="preserve">) for placing the vessel (</w:t>
      </w:r>
      <w:r>
        <w:rPr>
          <w:i/>
          <w:iCs/>
        </w:rPr>
        <w:t xml:space="preserve">pāttiram iṭa</w:t>
      </w:r>
      <w:r>
        <w:t xml:space="preserve">) during the night assembly of the hunting festival (</w:t>
      </w:r>
      <w:r>
        <w:rPr>
          <w:i/>
          <w:iCs/>
        </w:rPr>
        <w:t xml:space="preserve">tiruvēṭṭai iravu ōlakkam</w:t>
      </w:r>
      <w:r>
        <w:t xml:space="preserve">) (</w:t>
      </w:r>
      <w:r>
        <w:rPr>
          <w:i/>
          <w:iCs/>
        </w:rPr>
        <w:t xml:space="preserve">tiruvēṭṭai,</w:t>
      </w:r>
      <w:r>
        <w:t xml:space="preserve">)</w:t>
      </w:r>
    </w:p>
    <w:p>
      <w:pPr>
        <w:pStyle w:val="FirstParagraph"/>
      </w:pPr>
      <w:r>
        <w:t xml:space="preserve">in order for her to become the responsible (</w:t>
      </w:r>
      <w:r>
        <w:rPr>
          <w:i/>
          <w:iCs/>
        </w:rPr>
        <w:t xml:space="preserve">kaṭavaḷ āka</w:t>
      </w:r>
      <w:r>
        <w:t xml:space="preserve">) of the second song (</w:t>
      </w:r>
      <w:r>
        <w:rPr>
          <w:i/>
          <w:iCs/>
        </w:rPr>
        <w:t xml:space="preserve">irāṇṭām pāṭṭai</w:t>
      </w:r>
      <w:r>
        <w:t xml:space="preserve">) ⟨during⟩ the hunting festival (</w:t>
      </w:r>
      <w:r>
        <w:rPr>
          <w:i/>
          <w:iCs/>
        </w:rPr>
        <w:t xml:space="preserve">tiruvēṭṭai</w:t>
      </w:r>
      <w:r>
        <w:t xml:space="preserve">).</w:t>
      </w:r>
    </w:p>
    <w:p>
      <w:pPr>
        <w:pStyle w:val="BodyText"/>
      </w:pPr>
      <w:r>
        <w:t xml:space="preserve">After we have received and deposited three</w:t>
      </w:r>
      <w:r>
        <w:t xml:space="preserve"> </w:t>
      </w:r>
      <w:r>
        <w:rPr>
          <w:i/>
          <w:iCs/>
        </w:rPr>
        <w:t xml:space="preserve">kaḻañcus</w:t>
      </w:r>
      <w:r>
        <w:t xml:space="preserve"> </w:t>
      </w:r>
      <w:r>
        <w:t xml:space="preserve">of gold into the temple treasury of this god in exchange for the hunting activities, and having deposited and received it from the temple treasury through the holy grace of the administrators of the Caṇḍeśa shrine, we, the temple administrators of the temple of this god, have granted the hereditary rights of land to her.</w:t>
      </w:r>
    </w:p>
    <w:p>
      <w:pPr>
        <w:pStyle w:val="Heading1"/>
      </w:pPr>
      <w:r>
        <w:t xml:space="preserve">Commentary</w:t>
      </w:r>
    </w:p>
    <w:p>
      <w:pPr>
        <w:pStyle w:val="FirstParagraph"/>
      </w:pPr>
      <w:r>
        <w:t xml:space="preserve">At the bottom right edge, below the end of the text, a few shallow strokes are written on the last three lines of the inscription (here ll. 13-15). Their ductus differs from that of the main inscription, although they may well be contemporaneous, at least on paleaographic grounds. The material is not reported in ARIE nor in the transcripts and is therefore treated here as a graffito.</w:t>
      </w:r>
    </w:p>
    <w:p>
      <w:pPr>
        <w:pStyle w:val="Heading1"/>
      </w:pPr>
      <w:r>
        <w:t xml:space="preserve">Bibliography</w:t>
      </w:r>
    </w:p>
    <w:p>
      <w:pPr>
        <w:pStyle w:val="FirstParagraph"/>
      </w:pPr>
      <w:r>
        <w:t xml:space="preserve">Reported in ARIE 1939–43 (ARIE/1939-1943/B/1940-1941/161).</w:t>
      </w:r>
    </w:p>
    <w:p>
      <w:pPr>
        <w:pStyle w:val="BodyText"/>
      </w:pPr>
      <w:r>
        <w:t xml:space="preserve">This edition by Renato Dávalos and Emmanuel Francis, based on autopsy (2024), photos (E. Francis, 2024), ASI estampage kindly supplied by the Director of Epigraphy in Mysore.</w:t>
      </w:r>
    </w:p>
    <w:p>
      <w:pPr>
        <w:pStyle w:val="Heading2"/>
      </w:pPr>
      <w:r>
        <w:t xml:space="preserve">Secondary</w:t>
      </w:r>
    </w:p>
    <w:p>
      <w:pPr>
        <w:pStyle w:val="FirstParagraph"/>
      </w:pPr>
      <w:r>
        <w:rPr>
          <w:b/>
          <w:bCs/>
        </w:rPr>
        <w:t xml:space="preserve">[ARIE]</w:t>
      </w:r>
      <w:r>
        <w:t xml:space="preserve"> </w:t>
      </w:r>
      <w:r>
        <w:t xml:space="preserve">ARIE 1939–43.</w:t>
      </w:r>
      <w:r>
        <w:t xml:space="preserve"> </w:t>
      </w:r>
      <w:r>
        <w:rPr>
          <w:i/>
          <w:iCs/>
        </w:rPr>
        <w:t xml:space="preserve">Annual reports on South Indian epigraphy for the years 1939-40 to 1942-43</w:t>
      </w:r>
      <w:r>
        <w:t xml:space="preserve">. Edited by C. R. Krishnamacharlu &amp; N. Laksminarayan Rao. Delhi: Government of India, 1952. Page 94, item 161, appendixes B/1940-1941.</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Nallūr, Vilvāraṇyeśvara temple, Kulottuṅga Cōḻa king, year 22</dc:title>
  <dc:creator>Renato Dávalos and Emmanuel Francis</dc:creator>
  <cp:keywords/>
  <dcterms:created xsi:type="dcterms:W3CDTF">2026-10-26T16:59:47Z</dcterms:created>
  <dcterms:modified xsi:type="dcterms:W3CDTF">2026-10-26T16:59:47Z</dcterms:modified>
</cp:coreProperties>
</file>

<file path=docProps/custom.xml><?xml version="1.0" encoding="utf-8"?>
<Properties xmlns="http://schemas.openxmlformats.org/officeDocument/2006/custom-properties" xmlns:vt="http://schemas.openxmlformats.org/officeDocument/2006/docPropsVTypes"/>
</file>