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Balambu Stone Inscription 2</w:t>
      </w:r>
    </w:p>
    <w:p>
      <w:pPr>
        <w:pStyle w:val="Author"/>
      </w:pPr>
      <w:r>
        <w:t xml:space="preserve">Dániel Balogh</w:t>
      </w:r>
    </w:p>
    <w:p>
      <w:pPr>
        <w:pStyle w:val="FirstParagraph"/>
      </w:pPr>
      <w:r>
        <w:t xml:space="preserve">Author of digital edition: Dániel Balogh</w:t>
      </w:r>
    </w:p>
    <w:p>
      <w:pPr>
        <w:pStyle w:val="BodyText"/>
      </w:pPr>
      <w:r>
        <w:t xml:space="preserve">Identifier: DHARMA_INSSiddham02082</w:t>
      </w:r>
    </w:p>
    <w:p>
      <w:pPr>
        <w:pStyle w:val="BodyText"/>
      </w:pPr>
      <w:r>
        <w:t xml:space="preserve">Repository: SIDDHAM (siddham)</w:t>
      </w:r>
    </w:p>
    <w:p>
      <w:pPr>
        <w:pStyle w:val="BodyText"/>
      </w:pPr>
      <w:r>
        <w:t xml:space="preserve">File path: XML-Provisional/DHARMA_INSSiddham02082.xml</w:t>
      </w:r>
    </w:p>
    <w:p>
      <w:pPr>
        <w:pStyle w:val="BodyText"/>
      </w:pPr>
      <w:r>
        <w:t xml:space="preserve">Language: Sanskrit [Southern Brāhmī (unspecified)]</w:t>
      </w:r>
    </w:p>
    <w:p>
      <w:pPr>
        <w:pStyle w:val="BodyText"/>
      </w:pPr>
      <w:r>
        <w:t xml:space="preserve">Commit: 2026-09-16 10:40 (3083d2d), last modified 2026-09-16 09:24 (c200993)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[oṁ svasti] kailāsa[kūṭa-bhavanā] [ca. 22×]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⟨2⟩</w:t>
      </w:r>
      <w:r>
        <w:rPr>
          <w:rStyle w:val="ColorGray"/>
        </w:rPr>
        <w:t xml:space="preserve"> </w:t>
      </w:r>
      <w:r>
        <w:t xml:space="preserve">[ca. 4×] caraṇa [ca. 7×] bhagavat-paśupati-bhaṭṭāraka-pādānugr̥hīto bappa-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⟨3⟩</w:t>
      </w:r>
      <w:r>
        <w:rPr>
          <w:rStyle w:val="ColorGray"/>
        </w:rPr>
        <w:t xml:space="preserve"> </w:t>
      </w:r>
      <w:r>
        <w:t xml:space="preserve">pādānudhyāto licchavi-kula [ca. 4×] parama-bhaṭṭāraka-mahārājādhirāja-śrī-śivadevaḥ ku</w:t>
      </w:r>
      <w:r>
        <w:rPr>
          <w:rStyle w:val="ColorGray"/>
        </w:rPr>
        <w:t xml:space="preserve">⟨4⟩</w:t>
      </w:r>
      <w:r>
        <w:t xml:space="preserve">śalī nepāla-bhū [ca. 7×] (va?)dhi [ca. 4×] sarāja [ca. 1×] ra [ca. 4×] inu [ca. 2×] yathārhaṅ ku</w:t>
      </w:r>
      <w:r>
        <w:rPr>
          <w:rStyle w:val="ColorGray"/>
        </w:rPr>
        <w:t xml:space="preserve">⟨5⟩</w:t>
      </w:r>
      <w:r>
        <w:t xml:space="preserve">śalam abhidhāya samājñāpayati viditam astu bhavatāṁ [ca. 7×] deva-kula-pratibaddha [ca. 1×]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⟨6⟩</w:t>
      </w:r>
      <w:r>
        <w:rPr>
          <w:rStyle w:val="ColorGray"/>
        </w:rPr>
        <w:t xml:space="preserve"> </w:t>
      </w:r>
      <w:r>
        <w:t xml:space="preserve">nojñābhidhāno grāmaḥ [ca. 16×] bhujyamāna Ity avagamyā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⟨7⟩</w:t>
      </w:r>
      <w:r>
        <w:rPr>
          <w:rStyle w:val="ColorGray"/>
        </w:rPr>
        <w:t xml:space="preserve"> </w:t>
      </w:r>
      <w:r>
        <w:t xml:space="preserve">[ca. 2×] dānīm ayaṅ grāmaḥ koṭṭa-maryādopapannaś cāṭa-bhaṭānām aprāveśyena (jha?)la(ndu?)-viṣṭyā ca vinirmuktaḥ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⟨8⟩</w:t>
      </w:r>
      <w:r>
        <w:rPr>
          <w:rStyle w:val="ColorGray"/>
        </w:rPr>
        <w:t xml:space="preserve"> </w:t>
      </w:r>
      <w:r>
        <w:t xml:space="preserve">satala śītāṭī-draṅga-nivāsināṁ (pālanopabhogā?)rthaṁ prasādīkr̥to ⟨’⟩sya ca deva-kulasya khaṇḍa-sphuṭita-saṁ</w:t>
      </w:r>
      <w:r>
        <w:rPr>
          <w:rStyle w:val="ColorGray"/>
        </w:rPr>
        <w:t xml:space="preserve">⟨9⟩</w:t>
      </w:r>
      <w:r>
        <w:t xml:space="preserve">skāra-kāraṇa-pūjādikam ebhi [ca. 5×] kāraṇa-pūjā [ca. 1×] vaśiṣṭ(ena dabhu?) [ca. 1×] ṇa bhagavataḥ śrī-paśupati-bhaṭṭāra</w:t>
      </w:r>
      <w:r>
        <w:rPr>
          <w:rStyle w:val="ColorGray"/>
        </w:rPr>
        <w:t xml:space="preserve">⟨10⟩</w:t>
      </w:r>
      <w:r>
        <w:t xml:space="preserve">kasya prativarṣam asmat-puṇyādhigama-nimittaṁ śobhana-cchattrāropaṇā karaṇīyā tam uddiśya śobhanāyāttrāpi ka</w:t>
      </w:r>
      <w:r>
        <w:rPr>
          <w:rStyle w:val="ColorGray"/>
        </w:rPr>
        <w:t xml:space="preserve">⟨11⟩</w:t>
      </w:r>
      <w:r>
        <w:t xml:space="preserve">[raṇ]īyā tad-upayukta [.]eṣṭam api pratyāya-jātam etair vibhajya svayam upabhoktavyaṁ Eṣa ca grāmaḥ [ca. 1×] vad-raṅgam[.]</w:t>
      </w:r>
      <w:r>
        <w:rPr>
          <w:rStyle w:val="ColorGray"/>
        </w:rPr>
        <w:t xml:space="preserve">⟨12⟩</w:t>
      </w:r>
      <w:r>
        <w:t xml:space="preserve">sya dakṣiṇa-paścime [ca. 1×] gaṁ prodbhiṅ-grāmasyāpi paścimottareṇa gaṇiduṅ-grāmasya cottara-pūrvato nupuna-grā</w:t>
      </w:r>
      <w:r>
        <w:rPr>
          <w:rStyle w:val="ColorGray"/>
        </w:rPr>
        <w:t xml:space="preserve">⟨13⟩</w:t>
      </w:r>
      <w:r>
        <w:t xml:space="preserve">masyāpi dakṣiṇa-pūrveṇāmīṣāñ caturṇāṅ grāmāṇām sīmā satvaumālamba-saṁjñake pradeśe samāvāsa</w:t>
      </w:r>
      <w:r>
        <w:rPr>
          <w:rStyle w:val="ColorGray"/>
        </w:rPr>
        <w:t xml:space="preserve">⟨14⟩</w:t>
      </w:r>
      <w:r>
        <w:t xml:space="preserve">yitavyaḥ sīmā cāsya prāktanī Ārāmakhara-pradeśe śobhanāmlāmra-vr̥kṣād dakṣiṇa-paścimataḥ pāṇḍara</w:t>
      </w:r>
      <w:r>
        <w:rPr>
          <w:rStyle w:val="ColorGray"/>
        </w:rPr>
        <w:t xml:space="preserve">⟨15⟩</w:t>
      </w:r>
      <w:r>
        <w:t xml:space="preserve">mr̥ttikā-srotasaś ca dakṣiṇa-paścimena yāvad dhimanadī-srota Uttīrya kiñcid āruhya svakīyāṁ Eva sīmā</w:t>
      </w:r>
      <w:r>
        <w:rPr>
          <w:rStyle w:val="ColorGray"/>
        </w:rPr>
        <w:t xml:space="preserve">⟨16⟩</w:t>
      </w:r>
      <w:r>
        <w:t xml:space="preserve">nam veṣṭayitvā gavāṁ lavaṇa-dāna-sva [.]ī dakṣiṇāli(kā?)sam(ī?)pe Āmra-vr̥kṣas tat-paścimato luljū-srotasa</w:t>
      </w:r>
      <w:r>
        <w:rPr>
          <w:rStyle w:val="ColorGray"/>
        </w:rPr>
        <w:t xml:space="preserve">⟨17⟩</w:t>
      </w:r>
      <w:r>
        <w:t xml:space="preserve">m uttīrya dāṁyambīgam prodbhi [.]dā [.]ākohasī [ca. 3×] t-tri-sandhi-saṁjñakaḥ pradeśas tasyottarataḥ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⟨18⟩</w:t>
      </w:r>
      <w:r>
        <w:rPr>
          <w:rStyle w:val="ColorGray"/>
        </w:rPr>
        <w:t xml:space="preserve"> </w:t>
      </w:r>
      <w:r>
        <w:t xml:space="preserve">tasyā Evopariṣṭād yāvat prattīyavadu-nadī-saṅgamas tam uttīrya kiñcid āruhya ca prācyā kiśi [ca. 3×] na [ca. 1×]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⟨19⟩</w:t>
      </w:r>
      <w:r>
        <w:rPr>
          <w:rStyle w:val="ColorGray"/>
        </w:rPr>
        <w:t xml:space="preserve"> </w:t>
      </w:r>
      <w:r>
        <w:t xml:space="preserve">kṣettrasyottarataḥ sīmno yāvat salambū-rāja-vāsakasyottareṇa (ha?) [ca. 1×] (sro?)to br̥hat-sālavr̥kṣas tat-pūrva-dakṣiṇa</w:t>
      </w:r>
      <w:r>
        <w:rPr>
          <w:rStyle w:val="ColorGray"/>
        </w:rPr>
        <w:t xml:space="preserve">⟨20⟩</w:t>
      </w:r>
      <w:r>
        <w:t xml:space="preserve">taḥ pāśa-vr̥kṣas tat-pūrvato ⟨’⟩pi rāja-vāsake pānīyāropita Evo(pavidhisi?) [ca. 1×] khoṭa-kṣettrottareṇāmra-pādapa</w:t>
      </w:r>
      <w:r>
        <w:rPr>
          <w:rStyle w:val="ColorGray"/>
        </w:rPr>
        <w:t xml:space="preserve">⟨21⟩</w:t>
      </w:r>
      <w:r>
        <w:t xml:space="preserve">s tat-pūrvato ⟨’⟩pi golṇaṁ-srotaso ⟨’⟩dhastād yāvad gautamāśrama-sarit-saṅgamas tasya cādhastād utthima-nadī-sambaidyas tam a</w:t>
      </w:r>
      <w:r>
        <w:rPr>
          <w:rStyle w:val="ColorGray"/>
        </w:rPr>
        <w:t xml:space="preserve">⟨22⟩</w:t>
      </w:r>
      <w:r>
        <w:t xml:space="preserve">vatīryāruhya vadjaṇḍaṅguṁ [ca. 1×] ha-pathasya stri-sandhi-saṁjñakāt paścimenāruhya kiñcit pālaṇasya ca dakṣiṇato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⟨23⟩</w:t>
      </w:r>
      <w:r>
        <w:rPr>
          <w:rStyle w:val="ColorGray"/>
        </w:rPr>
        <w:t xml:space="preserve"> </w:t>
      </w:r>
      <w:r>
        <w:t xml:space="preserve">vr̥had vanaṁ tad-dakṣiṇato ⟨’⟩pi vastuṁ-kṣettraṁ tasyaiva dakṣiṇena campaka-vr̥kṣas tad-dakṣiṇa-paścimataś ca sa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⟨24⟩</w:t>
      </w:r>
      <w:r>
        <w:rPr>
          <w:rStyle w:val="ColorGray"/>
        </w:rPr>
        <w:t xml:space="preserve"> </w:t>
      </w:r>
      <w:r>
        <w:t xml:space="preserve">Eṣa śobhanāmlāmra-vr̥kṣa Ity etat-sīmāntaḥ sā [.]i [ca. 1×] smin grāme ⟨’⟩smat-pratibaddha-jīvanopabhogibhir anyai</w:t>
      </w:r>
      <w:r>
        <w:rPr>
          <w:rStyle w:val="ColorGray"/>
        </w:rPr>
        <w:t xml:space="preserve">⟨25⟩</w:t>
      </w:r>
      <w:r>
        <w:t xml:space="preserve">r vā na kaiścid alpāpi pīḍā kartavyā kārayitavyā vā ye tv etām āsmākīm ājñām avajñāyānyathā kuryuḥ kāra</w:t>
      </w:r>
      <w:r>
        <w:rPr>
          <w:rStyle w:val="ColorGray"/>
        </w:rPr>
        <w:t xml:space="preserve">⟨26⟩</w:t>
      </w:r>
      <w:r>
        <w:t xml:space="preserve">yeyur vā te ⟨’⟩smābhir avaśyan na kṣamyante ye vāsmad-ūrdhvam bhavitāro medinī-nāthās tair api pūrva-pārthiva-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⟨27⟩</w:t>
      </w:r>
      <w:r>
        <w:rPr>
          <w:rStyle w:val="ColorGray"/>
        </w:rPr>
        <w:t xml:space="preserve"> </w:t>
      </w:r>
      <w:r>
        <w:t xml:space="preserve">kr̥to ⟨’⟩yam viśiṣṭaḥ prasāda Iti sva-hitodayāpekṣibhis tad-gaurava⟨⟨va⟩⟩dbhir [ca. 1×] saṁrakṣaṇīyo yatho</w:t>
      </w:r>
      <w:r>
        <w:rPr>
          <w:rStyle w:val="ColorGray"/>
        </w:rPr>
        <w:t xml:space="preserve">⟨28⟩</w:t>
      </w:r>
      <w:r>
        <w:t xml:space="preserve">ktaṁ</w:t>
      </w:r>
    </w:p>
    <w:p>
      <w:pPr>
        <w:pStyle w:val="BodyText"/>
      </w:pPr>
      <w:r>
        <w:t xml:space="preserve">1.</w:t>
      </w:r>
      <w:r>
        <w:t xml:space="preserve"> </w:t>
      </w:r>
      <w:hyperlink r:id="rId9">
        <w:r>
          <w:rPr>
            <w:rStyle w:val="Hyperlink"/>
          </w:rPr>
          <w:t xml:space="preserve">Upajāti</w:t>
        </w:r>
      </w:hyperlink>
    </w:p>
    <w:p>
      <w:pPr>
        <w:pStyle w:val="BodyText"/>
      </w:pPr>
      <w:r>
        <w:t xml:space="preserve">purātanānām pr̥thivīśvarāṇāñ</w:t>
      </w:r>
      <w:r>
        <w:br/>
      </w:r>
      <w:r>
        <w:t xml:space="preserve">jagad-dhitāyāviratodyamānāṁ</w:t>
      </w:r>
      <w:r>
        <w:br/>
      </w:r>
      <w:r>
        <w:t xml:space="preserve">ye sarva-dājñām anupālayeyus</w:t>
      </w:r>
      <w:r>
        <w:br/>
      </w:r>
      <w:r>
        <w:t xml:space="preserve">te</w:t>
      </w:r>
      <w:r>
        <w:rPr>
          <w:rStyle w:val="ColorGray"/>
        </w:rPr>
        <w:t xml:space="preserve">⟨29⟩</w:t>
      </w:r>
      <w:r>
        <w:t xml:space="preserve">ṣāṁ nr̥pa-śrīr niyatā [.]i [–] [.]i||</w:t>
      </w:r>
    </w:p>
    <w:p>
      <w:pPr>
        <w:pStyle w:val="BodyText"/>
      </w:pPr>
      <w:r>
        <w:t xml:space="preserve">iti svayam ājñā dūtakaś cāttra śrī-jayadevo bhaṭṭārakaḥ saṁvaT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⟨30⟩</w:t>
      </w:r>
      <w:r>
        <w:rPr>
          <w:rStyle w:val="ColorGray"/>
        </w:rPr>
        <w:t xml:space="preserve"> </w:t>
      </w:r>
      <w:r>
        <w:t xml:space="preserve">100 9 [ca. 7×] pañcamyāM|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hyperlink r:id="rId10">
        <w:r>
          <w:rPr>
            <w:rStyle w:val="Hyperlink"/>
          </w:rPr>
          <w:t xml:space="preserve">Gnoli 1956</w:t>
        </w:r>
      </w:hyperlink>
      <w:r>
        <w:t xml:space="preserve">, pp. 105–106;</w:t>
      </w:r>
      <w:r>
        <w:t xml:space="preserve"> </w:t>
      </w:r>
      <w:hyperlink r:id="rId11">
        <w:r>
          <w:rPr>
            <w:rStyle w:val="Hyperlink"/>
          </w:rPr>
          <w:t xml:space="preserve">Vajrācārya 1973</w:t>
        </w:r>
      </w:hyperlink>
      <w:r>
        <w:t xml:space="preserve">, pp. 530–536;</w:t>
      </w:r>
      <w:r>
        <w:t xml:space="preserve"> </w:t>
      </w:r>
      <w:hyperlink r:id="rId12">
        <w:r>
          <w:rPr>
            <w:rStyle w:val="Hyperlink"/>
          </w:rPr>
          <w:t xml:space="preserve">Regmi 1983</w:t>
        </w:r>
      </w:hyperlink>
      <w:r>
        <w:t xml:space="preserve">, pp. 137–140;</w:t>
      </w:r>
      <w:r>
        <w:t xml:space="preserve"> </w:t>
      </w:r>
      <w:hyperlink r:id="rId13">
        <w:r>
          <w:rPr>
            <w:rStyle w:val="Hyperlink"/>
          </w:rPr>
          <w:t xml:space="preserve">Regmi 1983</w:t>
        </w:r>
      </w:hyperlink>
      <w:r>
        <w:t xml:space="preserve">, pp. 86–87.</w:t>
      </w:r>
    </w:p>
    <w:p>
      <w:pPr>
        <w:pStyle w:val="BodyText"/>
      </w:pPr>
      <w:r>
        <w:t xml:space="preserve">Originally encoded for Siddham in the project Beyond Boundaries (Grant Agreement No. 609823) by Dániel Balogh (</w:t>
      </w:r>
      <w:hyperlink r:id="rId14">
        <w:r>
          <w:rPr>
            <w:rStyle w:val="Hyperlink"/>
          </w:rPr>
          <w:t xml:space="preserve">2019</w:t>
        </w:r>
      </w:hyperlink>
      <w:r>
        <w:t xml:space="preserve">, № IN02082). Encoding updated to DHARMA conventions by Dániel Balogh.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https://dharmalekha.info/bibliography/entry/Balogh2019_03" TargetMode="External" /><Relationship Type="http://schemas.openxmlformats.org/officeDocument/2006/relationships/hyperlink" Id="rId10" Target="https://dharmalekha.info/bibliography/entry/Gnoli1956_01" TargetMode="External" /><Relationship Type="http://schemas.openxmlformats.org/officeDocument/2006/relationships/hyperlink" Id="rId12" Target="https://dharmalekha.info/bibliography/entry/Regmi1983_02" TargetMode="External" /><Relationship Type="http://schemas.openxmlformats.org/officeDocument/2006/relationships/hyperlink" Id="rId13" Target="https://dharmalekha.info/bibliography/entry/Regmi1983_03" TargetMode="External" /><Relationship Type="http://schemas.openxmlformats.org/officeDocument/2006/relationships/hyperlink" Id="rId11" Target="https://dharmalekha.info/bibliography/entry/Vajracarya1973_01" TargetMode="External" /><Relationship Type="http://schemas.openxmlformats.org/officeDocument/2006/relationships/hyperlink" Id="rId9" Target="https://dharmalekha.info/prosody#prosody-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https://dharmalekha.info/bibliography/entry/Balogh2019_03" TargetMode="External" /><Relationship Type="http://schemas.openxmlformats.org/officeDocument/2006/relationships/hyperlink" Id="rId10" Target="https://dharmalekha.info/bibliography/entry/Gnoli1956_01" TargetMode="External" /><Relationship Type="http://schemas.openxmlformats.org/officeDocument/2006/relationships/hyperlink" Id="rId12" Target="https://dharmalekha.info/bibliography/entry/Regmi1983_02" TargetMode="External" /><Relationship Type="http://schemas.openxmlformats.org/officeDocument/2006/relationships/hyperlink" Id="rId13" Target="https://dharmalekha.info/bibliography/entry/Regmi1983_03" TargetMode="External" /><Relationship Type="http://schemas.openxmlformats.org/officeDocument/2006/relationships/hyperlink" Id="rId11" Target="https://dharmalekha.info/bibliography/entry/Vajracarya1973_01" TargetMode="External" /><Relationship Type="http://schemas.openxmlformats.org/officeDocument/2006/relationships/hyperlink" Id="rId9" Target="https://dharmalekha.info/prosody#prosody-54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Balambu Stone Inscription 2</dc:title>
  <dc:creator>Dániel Balogh</dc:creator>
  <cp:keywords/>
  <dcterms:created xsi:type="dcterms:W3CDTF">2026-10-26T21:57:12Z</dcterms:created>
  <dcterms:modified xsi:type="dcterms:W3CDTF">2026-10-26T21:57:12Z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