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Banepa Stone Inscription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DHARMA_INSSiddham02039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XML-Provisional/DHARMA_INSSiddham02039.xml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[sva]sti mānagr̥hād anavagīta [ca. 14×]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[ca. 1×] tāhita-pratāpa-dhanyā [ca. 3×] [bappa-pādānuddhyāto licchavi-kula-ketur bhaṭṭāraka]-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[ma]hārāja-śrī-śidevaḥ ku[śalī] [ca. 10×] [ku]</w:t>
      </w:r>
      <w:r>
        <w:rPr>
          <w:rStyle w:val="ColorGray"/>
        </w:rPr>
        <w:t xml:space="preserve">⟨4⟩</w:t>
      </w:r>
      <w:r>
        <w:t xml:space="preserve">[ṭu]mbinaḥ kuśalam ābhāṣya [samājñāpayati viditam bhavatu bhavatām yathānena]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[ca. 2×] ka-vidyāmaya-parijñāna [ca. 15×]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[ca. 1×] viśeṣa-vādena dig-antara-visāri [ca. 2×] sāmanta [ca. 1×] (naśa?) [ca. 7×]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[ca. 2×] śeṣa [ca. 1×] manma-maṇḍalena ma[hārājā]dhirāja-śrī-sāmantā[-ṁśuvarmmaṇā] [ca. 2×]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[ca. 4×] m pradhāryya tada [ca. 7×] kleśāpahāri [ca. 8×]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[ca. 4×] śikharasvāminā [ca. 6×] prāveśyako [ca. 9×]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[ca. 4×] grāmaḥ kr̥to ⟨’⟩sya co [ca. 5×] [mār]ggas tam anusr̥tya [ca. 7×]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[deva]kulam tatah pūrvva-dakṣi[ṇena] [ca. 5×] [nu]sr̥tya śuśāna [ca. 1×] ha [ca. 4×]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[ca. 1×] pūrvveṇa tekhuṁdul-srotas t [ca. 6×] mārgga-goṭana-kṣetra [ca. 7×]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[ca. 1×] parvvata-mūlam dakṣiṇena [ca. 5×] tataḥ paścimena [ca. 7×]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[ca. 7×] dakṣiṇena [.]elantī-nadī [ca. 3×] paścimacandreśvara [ca. 6×]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[ca. 2×] ṅ-grāmas tata Uttareṇa dakṣiṇeśvaras tataḥ parvvata-mūlam pūrvva [ca. 4×]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[ca. 1×] pānīya-mārgga Ity etat-sīma-parikṣiptas tasyātra cira-kā[la-sthitaye]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śilā-paṭṭaka-śāsanan tebhyo dattam iti kaiścid mat-pāda-prasād[opajīvi]</w:t>
      </w:r>
      <w:r>
        <w:rPr>
          <w:rStyle w:val="ColorGray"/>
        </w:rPr>
        <w:t xml:space="preserve">⟨18⟩</w:t>
      </w:r>
      <w:r>
        <w:t xml:space="preserve">[bhi]r anyair vvā nātra sūkṣmāpi pīḍā kāryyā y[e tv i]mām ājñām [ca. 4×]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[nya]thā kuryuḥ kārayeyur vvā [ca. 15×]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[ca. 4×] licchavi-[va]ṅśa-kramāga [ca. 10×] [dharmma-gu]</w:t>
      </w:r>
      <w:r>
        <w:rPr>
          <w:rStyle w:val="ColorGray"/>
        </w:rPr>
        <w:t xml:space="preserve">⟨21⟩</w:t>
      </w:r>
      <w:r>
        <w:t xml:space="preserve">[rubhi]r gguru-kr̥ta-prasādānuvarttibhir iyam ā[jñā samyak pratipālanī]</w:t>
      </w:r>
      <w:r>
        <w:rPr>
          <w:rStyle w:val="ColorGray"/>
        </w:rPr>
        <w:t xml:space="preserve">⟨22⟩</w:t>
      </w:r>
      <w:r>
        <w:t xml:space="preserve">[yeti samājñāpanā dūtaka]ś cātra [ca. 4×] gomī [saṁvaT] [ca. 3×]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śrāvaṇa-māse [ca. 9×]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Gnoli 1956</w:t>
        </w:r>
      </w:hyperlink>
      <w:r>
        <w:t xml:space="preserve">, pp. 44–45;</w:t>
      </w:r>
      <w:r>
        <w:t xml:space="preserve"> </w:t>
      </w:r>
      <w:hyperlink r:id="rId10">
        <w:r>
          <w:rPr>
            <w:rStyle w:val="Hyperlink"/>
          </w:rPr>
          <w:t xml:space="preserve">Vajrācārya 1973</w:t>
        </w:r>
      </w:hyperlink>
      <w:r>
        <w:t xml:space="preserve">, pp. 229–230;</w:t>
      </w:r>
      <w:r>
        <w:t xml:space="preserve"> </w:t>
      </w:r>
      <w:hyperlink r:id="rId11">
        <w:r>
          <w:rPr>
            <w:rStyle w:val="Hyperlink"/>
          </w:rPr>
          <w:t xml:space="preserve">Regmi 1983</w:t>
        </w:r>
      </w:hyperlink>
      <w:r>
        <w:t xml:space="preserve">, pp. 54–55;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pp. 32–33.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3">
        <w:r>
          <w:rPr>
            <w:rStyle w:val="Hyperlink"/>
          </w:rPr>
          <w:t xml:space="preserve">2019</w:t>
        </w:r>
      </w:hyperlink>
      <w:r>
        <w:t xml:space="preserve">, № IN02039).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Banepa Stone Inscription</dc:title>
  <dc:creator>Dániel Balogh</dc:creator>
  <cp:keywords/>
  <dcterms:created xsi:type="dcterms:W3CDTF">2026-10-26T22:54:19Z</dcterms:created>
  <dcterms:modified xsi:type="dcterms:W3CDTF">2026-10-26T22:54:19Z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