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Bhadgaon Stone Inscription 1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DHARMA_INSSiddham02030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XML-Provisional/DHARMA_INSSiddham02030.xml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 mānagr̥hād aparimita-guṇa-samudayodbhāsita-yaśā ba</w:t>
      </w:r>
      <w:r>
        <w:rPr>
          <w:rStyle w:val="ColorGray"/>
        </w:rPr>
        <w:t xml:space="preserve">⟨2⟩</w:t>
      </w:r>
      <w:r>
        <w:t xml:space="preserve">ppa-pādānuddhyāto licchavi-kula-ketur bhaṭṭāraka-mahārāja-śrī-śivade</w:t>
      </w:r>
      <w:r>
        <w:rPr>
          <w:rStyle w:val="ColorGray"/>
        </w:rPr>
        <w:t xml:space="preserve">⟨3⟩</w:t>
      </w:r>
      <w:r>
        <w:t xml:space="preserve">vaḥ kuśalī mākhopr̥ṁsatala-draṅga-nivāsinaḥ pradhāna-purassarā</w:t>
      </w:r>
      <w:r>
        <w:rPr>
          <w:rStyle w:val="ColorGray"/>
        </w:rPr>
        <w:t xml:space="preserve">⟨4⟩</w:t>
      </w:r>
      <w:r>
        <w:t xml:space="preserve">n grāma-kuṭumbinaḥ kuśala-paripraśna-pūrvvaṁ samājñāpayati vidi</w:t>
      </w:r>
      <w:r>
        <w:rPr>
          <w:rStyle w:val="ColorGray"/>
        </w:rPr>
        <w:t xml:space="preserve">⟨5⟩</w:t>
      </w:r>
      <w:r>
        <w:t xml:space="preserve">tam bhavatu bhavatāṁ yathānena prakhyātāmala-vipula-yaśasā sva-pa</w:t>
      </w:r>
      <w:r>
        <w:rPr>
          <w:rStyle w:val="ColorGray"/>
        </w:rPr>
        <w:t xml:space="preserve">⟨6⟩</w:t>
      </w:r>
      <w:r>
        <w:t xml:space="preserve">rākramopaśamitāmittra-pakṣa-prabhāvena śrī-mahāsāmantāṁśuvarmma</w:t>
      </w:r>
      <w:r>
        <w:rPr>
          <w:rStyle w:val="ColorGray"/>
        </w:rPr>
        <w:t xml:space="preserve">⟨7⟩</w:t>
      </w:r>
      <w:r>
        <w:t xml:space="preserve">ṇā vijñāpitena mayaitad-gauravād yuṣmad-anukampayā ca kūther-vr̥</w:t>
      </w:r>
      <w:r>
        <w:rPr>
          <w:rStyle w:val="ColorGray"/>
        </w:rPr>
        <w:t xml:space="preserve">⟨8⟩</w:t>
      </w:r>
      <w:r>
        <w:t xml:space="preserve">tty-adhikr̥tānām attra samucitas tri-kara-mātra-sādhanāyaiva prave</w:t>
      </w:r>
      <w:r>
        <w:rPr>
          <w:rStyle w:val="ColorGray"/>
        </w:rPr>
        <w:t xml:space="preserve">⟨9⟩</w:t>
      </w:r>
      <w:r>
        <w:t xml:space="preserve">śo lekhya-dāna-pañcāparādhādy-artthan tv apraveśa Iti prasādo vaḥ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kr̥tas tad evaṁ-vedibhir asmat-pāda-prasādopajīvibhir anyair vvā 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kaiścid ayam anyathā karaṇīyo yas tv etām ājñāṁ vilaṅghyānyathā ku</w:t>
      </w:r>
      <w:r>
        <w:rPr>
          <w:rStyle w:val="ColorGray"/>
        </w:rPr>
        <w:t xml:space="preserve">⟨12⟩</w:t>
      </w:r>
      <w:r>
        <w:t xml:space="preserve">ryyāt kārayed vā tam aham atitarān na marṣayisyāmi ye ⟨’⟩pi mad-ū</w:t>
      </w:r>
      <w:r>
        <w:rPr>
          <w:rStyle w:val="ColorGray"/>
        </w:rPr>
        <w:t xml:space="preserve">⟨13⟩</w:t>
      </w:r>
      <w:r>
        <w:t xml:space="preserve">rddhvam bhū-bhujo bhavitāras tair api dharmma-gurubhir gguru-kr̥ta-prasā</w:t>
      </w:r>
      <w:r>
        <w:rPr>
          <w:rStyle w:val="ColorGray"/>
        </w:rPr>
        <w:t xml:space="preserve">⟨14⟩</w:t>
      </w:r>
      <w:r>
        <w:t xml:space="preserve">dānuvarttibhir iyam ājñā samyak pratipālanīyeti samājñāpanā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dūtakaś cātra bhogavarmmagomī saṁvaT 500 10 7 jyaiṣṭha-śukla-divā daśamyāM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Bendall 1886</w:t>
        </w:r>
      </w:hyperlink>
      <w:r>
        <w:t xml:space="preserve">, pp. 72–74;</w:t>
      </w:r>
      <w:r>
        <w:t xml:space="preserve"> </w:t>
      </w:r>
      <w:hyperlink r:id="rId10">
        <w:r>
          <w:rPr>
            <w:rStyle w:val="Hyperlink"/>
          </w:rPr>
          <w:t xml:space="preserve">Gnoli 1956</w:t>
        </w:r>
      </w:hyperlink>
      <w:r>
        <w:t xml:space="preserve">, p. 32;</w:t>
      </w:r>
      <w:r>
        <w:t xml:space="preserve"> </w:t>
      </w:r>
      <w:hyperlink r:id="rId11">
        <w:r>
          <w:rPr>
            <w:rStyle w:val="Hyperlink"/>
          </w:rPr>
          <w:t xml:space="preserve">Vajrācārya 1973</w:t>
        </w:r>
      </w:hyperlink>
      <w:r>
        <w:t xml:space="preserve">, pp. 249–252;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pp. 55–56;</w:t>
      </w:r>
      <w:r>
        <w:t xml:space="preserve"> </w:t>
      </w:r>
      <w:hyperlink r:id="rId13">
        <w:r>
          <w:rPr>
            <w:rStyle w:val="Hyperlink"/>
          </w:rPr>
          <w:t xml:space="preserve">Regmi 1983</w:t>
        </w:r>
      </w:hyperlink>
      <w:r>
        <w:t xml:space="preserve">, p. 33.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4">
        <w:r>
          <w:rPr>
            <w:rStyle w:val="Hyperlink"/>
          </w:rPr>
          <w:t xml:space="preserve">2019</w:t>
        </w:r>
      </w:hyperlink>
      <w:r>
        <w:t xml:space="preserve">, № IN02030).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9" Target="https://dharmalekha.info/bibliography/entry/Bendall1886_01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9" Target="https://dharmalekha.info/bibliography/entry/Bendall1886_01" TargetMode="External" /><Relationship Type="http://schemas.openxmlformats.org/officeDocument/2006/relationships/hyperlink" Id="rId10" Target="https://dharmalekha.info/bibliography/entry/Gnoli1956_01" TargetMode="External" /><Relationship Type="http://schemas.openxmlformats.org/officeDocument/2006/relationships/hyperlink" Id="rId12" Target="https://dharmalekha.info/bibliography/entry/Regmi1983_02" TargetMode="External" /><Relationship Type="http://schemas.openxmlformats.org/officeDocument/2006/relationships/hyperlink" Id="rId13" Target="https://dharmalekha.info/bibliography/entry/Regmi1983_03" TargetMode="External" /><Relationship Type="http://schemas.openxmlformats.org/officeDocument/2006/relationships/hyperlink" Id="rId11" Target="https://dharmalekha.info/bibliography/entry/Vajracarya1973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Bhadgaon Stone Inscription 1</dc:title>
  <dc:creator>Dániel Balogh</dc:creator>
  <cp:keywords/>
  <dcterms:created xsi:type="dcterms:W3CDTF">2026-10-26T22:53:48Z</dcterms:created>
  <dcterms:modified xsi:type="dcterms:W3CDTF">2026-10-26T22:53:48Z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