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Beṇṇūr Grant of Kṛṣṇavarman II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DHARMA_INSSiddham01035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XML-Provisional/DHARMA_INSSiddham01035.xml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svasti|| jitaṁ bhagavatā</w:t>
      </w:r>
    </w:p>
    <w:p>
      <w:pPr>
        <w:pStyle w:val="BodyText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yathā yudhiṣṭhirasyeva</w:t>
      </w:r>
      <w:r>
        <w:br/>
      </w:r>
      <w:r>
        <w:t xml:space="preserve">śālāyāṁ yasya santataM</w:t>
      </w:r>
      <w:r>
        <w:br/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brāhmaṇānāṁ sahasrāṇi</w:t>
      </w:r>
      <w:r>
        <w:br/>
      </w:r>
      <w:r>
        <w:t xml:space="preserve">samaśnanti yathā-sukhaṁ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sa rājā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rāja-rājasya</w:t>
      </w:r>
      <w:r>
        <w:br/>
      </w:r>
      <w:r>
        <w:t xml:space="preserve">pra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aptā kr̥ṣṇavarmmaṇaḥ</w:t>
      </w:r>
      <w:r>
        <w:br/>
      </w:r>
      <w:r>
        <w:t xml:space="preserve">pautraḥ śrī-viṣṇu</w:t>
      </w:r>
      <w:r>
        <w:rPr>
          <w:rStyle w:val="ColorGray"/>
        </w:rPr>
        <w:t xml:space="preserve">⟨4⟩</w:t>
      </w:r>
      <w:r>
        <w:t xml:space="preserve">dāsasya</w:t>
      </w:r>
      <w:r>
        <w:br/>
      </w:r>
      <w:r>
        <w:t xml:space="preserve">putraḥ śrī-siṁhavarmmaṇaḥ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śaśvad brahmottaraṁ kurvvaN</w:t>
      </w:r>
      <w:r>
        <w:br/>
      </w:r>
      <w:r>
        <w:t xml:space="preserve">pra</w:t>
      </w:r>
      <w:r>
        <w:rPr>
          <w:rStyle w:val="ColorGray"/>
        </w:rPr>
        <w:t xml:space="preserve">⟨5⟩</w:t>
      </w:r>
      <w:r>
        <w:t xml:space="preserve">jāś ca paripālayaN</w:t>
      </w:r>
      <w:r>
        <w:br/>
      </w:r>
      <w:r>
        <w:t xml:space="preserve">mahī-vitihetāmitraḥ</w:t>
      </w:r>
      <w:r>
        <w:br/>
      </w:r>
      <w:r>
        <w:t xml:space="preserve">kr̥ṣṇo jayatu kr̥ṣṇa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⟨6⟩</w:t>
      </w:r>
      <w:r>
        <w:t xml:space="preserve">vat</w:t>
      </w:r>
    </w:p>
    <w:p>
      <w:pPr>
        <w:pStyle w:val="BodyText"/>
      </w:pPr>
      <w:r>
        <w:t xml:space="preserve">svāmi-mahā-sena-mātr̥-gaṇānudhyātābhiṣiktānāṁ mānavya-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sagotrāṇāṁ hāritī-putrāṇāṁ pratikr̥ta-svādhyāya-carcā-pārāṇāṁ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Aśvamedhāvabhr̥tha-snāna-pavitrī-kr̥tātmanāṁ kadambānāṁ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pañcamo loka-pālaḥ śrīmad-dharmma-mahārājaḥ vijaya-śiva</w:t>
      </w:r>
      <w:r>
        <w:rPr>
          <w:rStyle w:val="ColorGray"/>
        </w:rPr>
        <w:t xml:space="preserve">⟨10⟩</w:t>
      </w:r>
      <w:r>
        <w:t xml:space="preserve">kr̥ṣṇavarmm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⟨ā⟩</w:t>
      </w:r>
      <w:r>
        <w:t xml:space="preserve"> </w:t>
      </w:r>
      <w:r>
        <w:t xml:space="preserve">vaijayantī-vijaya-yātrām abhiprasthitaḥ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I</w:t>
      </w:r>
      <w:r>
        <w:rPr>
          <w:rStyle w:val="ColorRed"/>
        </w:rPr>
        <w:t xml:space="preserve">¿j?</w:t>
      </w:r>
      <w:r>
        <w:rPr>
          <w:rStyle w:val="ColorGreen"/>
        </w:rPr>
        <w:t xml:space="preserve">⟨ṅ⟩</w:t>
      </w:r>
      <w:r>
        <w:t xml:space="preserve">guṇa-grāma-br̥had-deva-kula-mahādevasya purastāT pauṣa-śu</w:t>
      </w:r>
      <w:r>
        <w:rPr>
          <w:rStyle w:val="ColorGray"/>
        </w:rPr>
        <w:t xml:space="preserve">⟨12⟩</w:t>
      </w:r>
      <w:r>
        <w:t xml:space="preserve">kla-pratipadi yathā-nyāyena satya-tapa⟨ḥ⟩-svādhyāya-viśiṣṭāya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chandoga-pāragāya yajñavide brahma-yajña-parāyaṇāya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paiṁgāya hārita-sagotrāya bhavasvāmine sendraka-viṣayā</w:t>
      </w:r>
      <w:r>
        <w:rPr>
          <w:rStyle w:val="ColorGray"/>
        </w:rPr>
        <w:t xml:space="preserve">⟨15⟩</w:t>
      </w:r>
      <w:r>
        <w:t xml:space="preserve">ntarggata-palmaḍi-grāme rāja-bhāga-daśa-bandhaṁ tathaiva ṣaṇ-</w:t>
      </w:r>
      <w:r>
        <w:rPr>
          <w:rStyle w:val="ColorRed"/>
        </w:rPr>
        <w:t xml:space="preserve">¿na?</w:t>
      </w:r>
      <w:r>
        <w:rPr>
          <w:rStyle w:val="ColorGreen"/>
        </w:rPr>
        <w:t xml:space="preserve">⟨ṇi⟩</w:t>
      </w:r>
      <w:r>
        <w:t xml:space="preserve">vartta</w:t>
      </w:r>
      <w:r>
        <w:rPr>
          <w:rStyle w:val="ColorGray"/>
        </w:rPr>
        <w:t xml:space="preserve">⟨Page 3r⟩</w:t>
      </w:r>
      <w:r>
        <w:rPr>
          <w:rStyle w:val="ColorGray"/>
        </w:rPr>
        <w:t xml:space="preserve">⟨16⟩</w:t>
      </w:r>
      <w:r>
        <w:t xml:space="preserve">naṁ ca pradattavāN⟨.⟩ yas tad-apaharttā sa pañca-mahāpātaka-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saṁyukto bhavati⟨.⟩ Uktañ ca||</w:t>
      </w:r>
    </w:p>
    <w:p>
      <w:pPr>
        <w:pStyle w:val="BodyText"/>
      </w:pPr>
      <w:r>
        <w:t xml:space="preserve">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t xml:space="preserve">sva-dattāṁ para-dattāṁ vā</w:t>
      </w:r>
      <w:r>
        <w:br/>
      </w:r>
      <w:r>
        <w:t xml:space="preserve">yo hareta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vasundharāM</w:t>
      </w:r>
      <w:r>
        <w:br/>
      </w:r>
      <w:r>
        <w:t xml:space="preserve">ṣaṣṭiṁ varṣa-sahasrāṇi</w:t>
      </w:r>
      <w:r>
        <w:br/>
      </w:r>
      <w:r>
        <w:t xml:space="preserve">narakeṣu vipacyate</w:t>
      </w:r>
    </w:p>
    <w:p>
      <w:pPr>
        <w:pStyle w:val="BodyText"/>
      </w:pPr>
      <w:r>
        <w:t xml:space="preserve">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śrī-doṣa-rāśi-varmātmā</w:t>
      </w:r>
      <w:r>
        <w:br/>
      </w:r>
      <w:r>
        <w:t xml:space="preserve">dharmmeṇa pr̥thivīñ ciraM</w:t>
      </w:r>
      <w:r>
        <w:br/>
      </w:r>
      <w:r>
        <w:t xml:space="preserve">siṁhāsana-va</w:t>
      </w:r>
      <w:r>
        <w:rPr>
          <w:rStyle w:val="ColorGray"/>
        </w:rPr>
        <w:t xml:space="preserve">⟨20⟩</w:t>
      </w:r>
      <w:r>
        <w:t xml:space="preserve">rāsīnaḥ</w:t>
      </w:r>
      <w:r>
        <w:br/>
      </w:r>
      <w:r>
        <w:t xml:space="preserve">sukhenaivābhirakṣatu</w:t>
      </w:r>
    </w:p>
    <w:p>
      <w:pPr>
        <w:pStyle w:val="BodyText"/>
      </w:pPr>
      <w:r>
        <w:t xml:space="preserve">namo viṣṇave||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hyperlink r:id="rId10">
        <w:r>
          <w:rPr>
            <w:rStyle w:val="Hyperlink"/>
          </w:rPr>
          <w:t xml:space="preserve">Rice 1902</w:t>
        </w:r>
      </w:hyperlink>
      <w:r>
        <w:t xml:space="preserve">, p. 594 (No. 245),</w:t>
      </w:r>
      <w:r>
        <w:t xml:space="preserve"> </w:t>
      </w:r>
      <w:hyperlink r:id="rId11">
        <w:r>
          <w:rPr>
            <w:rStyle w:val="Hyperlink"/>
          </w:rPr>
          <w:t xml:space="preserve">Gai 1996</w:t>
        </w:r>
      </w:hyperlink>
      <w:r>
        <w:t xml:space="preserve">, pp. 153–54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2">
        <w:r>
          <w:rPr>
            <w:rStyle w:val="Hyperlink"/>
          </w:rPr>
          <w:t xml:space="preserve">2019</w:t>
        </w:r>
      </w:hyperlink>
      <w:r>
        <w:t xml:space="preserve">, № IN01035).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1" Target="https://dharmalekha.info/bibliography/entry/Gai1996_01" TargetMode="External" /><Relationship Type="http://schemas.openxmlformats.org/officeDocument/2006/relationships/hyperlink" Id="rId10" Target="https://dharmalekha.info/bibliography/entry/Rice1902_02" TargetMode="External" /><Relationship Type="http://schemas.openxmlformats.org/officeDocument/2006/relationships/hyperlink" Id="rId9" Target="https://dharmalekha.info/prosody#prosody-1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11" Target="https://dharmalekha.info/bibliography/entry/Gai1996_01" TargetMode="External" /><Relationship Type="http://schemas.openxmlformats.org/officeDocument/2006/relationships/hyperlink" Id="rId10" Target="https://dharmalekha.info/bibliography/entry/Rice1902_02" TargetMode="External" /><Relationship Type="http://schemas.openxmlformats.org/officeDocument/2006/relationships/hyperlink" Id="rId9" Target="https://dharmalekha.info/prosody#prosody-169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Beṇṇūr Grant of Kṛṣṇavarman II</dc:title>
  <dc:creator>Dániel Balogh</dc:creator>
  <cp:keywords/>
  <dcterms:created xsi:type="dcterms:W3CDTF">2026-10-26T22:52:49Z</dcterms:created>
  <dcterms:modified xsi:type="dcterms:W3CDTF">2026-10-26T22:52:49Z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