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(19) Charter of Rudradāsa, Year 68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DHARMA_INSSiddham00519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XML-Provisional/DHARMA_INSSiddham00519.xml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svasti⟨.⟩ valkhāḥ paramabhaṭṭāraka-pādānuddhyāto mahārāja-rudradāsaḥ samājñāpayati sarvvān e</w:t>
      </w:r>
      <w:r>
        <w:rPr>
          <w:rStyle w:val="ColorGray"/>
        </w:rPr>
        <w:t xml:space="preserve">⟨2⟩</w:t>
      </w:r>
      <w:r>
        <w:t xml:space="preserve">vāsmat-santakān āyuktakān</w:t>
      </w:r>
    </w:p>
    <w:p>
      <w:pPr>
        <w:pStyle w:val="BodyText"/>
      </w:pPr>
      <w:r>
        <w:t xml:space="preserve">vijñātam astu vaḥ samanujānīmaḥ Itastya cāturvvaidya-pādā</w:t>
      </w:r>
      <w:r>
        <w:rPr>
          <w:rStyle w:val="ColorGray"/>
        </w:rPr>
        <w:t xml:space="preserve">⟨3⟩</w:t>
      </w:r>
      <w:r>
        <w:t xml:space="preserve">nāṁ narmmadā-dakṣiṇa-taṭe nagarikā-pathake cāra-vāhakan nāma grāmam agrāhāraṁ kuśapura-pa</w:t>
      </w:r>
      <w:r>
        <w:rPr>
          <w:rStyle w:val="ColorGray"/>
        </w:rPr>
        <w:t xml:space="preserve">⟨4⟩</w:t>
      </w:r>
      <w:r>
        <w:t xml:space="preserve">thake ca palāśapallī-grāmam uttara-taṭe ⟨’⟩pi ca gādhinagara-pathake bheṭanakam iti vijñāya</w:t>
      </w:r>
      <w:r>
        <w:rPr>
          <w:rStyle w:val="ColorGray"/>
        </w:rPr>
        <w:t xml:space="preserve">⟨5⟩</w:t>
      </w:r>
      <w:r>
        <w:t xml:space="preserve">mānakam agrāhāram evācandrārkka-graha-nakṣatra-tārakā-kālīnam anvaya-bhojyaṁ yato ⟨’⟩dya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divasād ārabhyocitayā cāturvvaidyāgrāhāra-dha⟨r⟩mmaṇā ca tad-agrāhāra-trayam apy upa</w:t>
      </w:r>
      <w:r>
        <w:rPr>
          <w:rStyle w:val="ColorGray"/>
        </w:rPr>
        <w:t xml:space="preserve">⟨7⟩</w:t>
      </w:r>
      <w:r>
        <w:t xml:space="preserve">bhuñjatāṁ kr̥ṣatāṁ vapatāṁ sam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vāsayatāṁś ca sarvvair evāsmat-pakṣa-tat-kulīnārakṣika</w:t>
      </w:r>
      <w:r>
        <w:rPr>
          <w:rStyle w:val="ColorGray"/>
        </w:rPr>
        <w:t xml:space="preserve">⟨8⟩</w:t>
      </w:r>
      <w:r>
        <w:t xml:space="preserve">-preṣaṇika-bhaṭa-cchatrājñā-vinirggatakādibhis samanumantavyaṁ</w:t>
      </w:r>
    </w:p>
    <w:p>
      <w:pPr>
        <w:pStyle w:val="BodyText"/>
      </w:pPr>
      <w:r>
        <w:t xml:space="preserve">varṣe 60 8</w:t>
      </w:r>
    </w:p>
    <w:p>
      <w:pPr>
        <w:pStyle w:val="BodyText"/>
      </w:pP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bhaṭṭi-rudradāsa dūtaka</w:t>
      </w:r>
    </w:p>
    <w:p>
      <w:pPr>
        <w:pStyle w:val="BodyText"/>
      </w:pPr>
      <w:r>
        <w:t xml:space="preserve">jyeṣṭha śu 5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mahārāja-rudradāsasya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41–43.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IN00519).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(19) Charter of Rudradāsa, Year 68</dc:title>
  <dc:creator>Dániel Balogh</dc:creator>
  <cp:keywords/>
  <dcterms:created xsi:type="dcterms:W3CDTF">2026-10-26T20:54:30Z</dcterms:created>
  <dcterms:modified xsi:type="dcterms:W3CDTF">2026-10-26T20:54:30Z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