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Bagh Hoard (12) Charter of Bhuluṇḍa, Year 57</w:t>
      </w:r>
    </w:p>
    <w:p>
      <w:pPr>
        <w:pStyle w:val="Author"/>
      </w:pPr>
      <w:r>
        <w:t xml:space="preserve">Dániel Balogh</w:t>
      </w:r>
    </w:p>
    <w:p>
      <w:pPr>
        <w:pStyle w:val="FirstParagraph"/>
      </w:pPr>
      <w:r>
        <w:t xml:space="preserve">Author of digital edition: Dániel Balogh</w:t>
      </w:r>
    </w:p>
    <w:p>
      <w:pPr>
        <w:pStyle w:val="BodyText"/>
      </w:pPr>
      <w:r>
        <w:t xml:space="preserve">Identifier: DHARMA_INSSiddham00512</w:t>
      </w:r>
    </w:p>
    <w:p>
      <w:pPr>
        <w:pStyle w:val="BodyText"/>
      </w:pPr>
      <w:r>
        <w:t xml:space="preserve">Repository: SIDDHAM (siddham)</w:t>
      </w:r>
    </w:p>
    <w:p>
      <w:pPr>
        <w:pStyle w:val="BodyText"/>
      </w:pPr>
      <w:r>
        <w:t xml:space="preserve">File path: XML-Provisional/DHARMA_INSSiddham00512.xml</w:t>
      </w:r>
    </w:p>
    <w:p>
      <w:pPr>
        <w:pStyle w:val="BodyText"/>
      </w:pPr>
      <w:r>
        <w:t xml:space="preserve">Language: Sanskrit [Southern Brāhmī (unspecified)]</w:t>
      </w:r>
    </w:p>
    <w:p>
      <w:pPr>
        <w:pStyle w:val="BodyText"/>
      </w:pPr>
      <w:r>
        <w:t xml:space="preserve">Commit: 2026-09-16 10:40 (3083d2d), last modified 2026-09-16 09:24 (c200993)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t xml:space="preserve">*⟨.⟩ valkhāḥ paramabhaṭṭāraka-pādānuddhyāto mahārāja-bhuluṇḍas samājñāpayati sarvvā</w:t>
      </w:r>
      <w:r>
        <w:rPr>
          <w:rStyle w:val="ColorGray"/>
        </w:rPr>
        <w:t xml:space="preserve">⟨2⟩</w:t>
      </w:r>
      <w:r>
        <w:t xml:space="preserve">n evāsmat-santakān āyuktakān</w:t>
      </w:r>
    </w:p>
    <w:p>
      <w:pPr>
        <w:pStyle w:val="BodyText"/>
      </w:pPr>
      <w:r>
        <w:t xml:space="preserve">vijñā</w:t>
      </w:r>
      <w:r>
        <w:rPr>
          <w:rStyle w:val="ColorRed"/>
        </w:rPr>
        <w:t xml:space="preserve">¿na?</w:t>
      </w:r>
      <w:r>
        <w:rPr>
          <w:rStyle w:val="ColorGreen"/>
        </w:rPr>
        <w:t xml:space="preserve">⟨ta⟩</w:t>
      </w:r>
      <w:r>
        <w:t xml:space="preserve">m astu vaḥ samanujānīmo ⟨’⟩sya valkhā⟨yā⟩m eva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⟨3⟩</w:t>
      </w:r>
      <w:r>
        <w:rPr>
          <w:rStyle w:val="ColorGray"/>
        </w:rPr>
        <w:t xml:space="preserve"> </w:t>
      </w:r>
      <w:r>
        <w:t xml:space="preserve">bhojikā-bhaṭṭa-bandhulayā pratiṣṭhāpitaka-bappapiśācadevasya tat-preṣitaka-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⟨4⟩</w:t>
      </w:r>
      <w:r>
        <w:rPr>
          <w:rStyle w:val="ColorGray"/>
        </w:rPr>
        <w:t xml:space="preserve"> </w:t>
      </w:r>
      <w:r>
        <w:t xml:space="preserve">jaya-vijñāpyāt tasya Eva santakaṁ kodravatallakan nāma-grāmaṁ bali-caru-satra-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⟨5⟩</w:t>
      </w:r>
      <w:r>
        <w:rPr>
          <w:rStyle w:val="ColorGray"/>
        </w:rPr>
        <w:t xml:space="preserve"> </w:t>
      </w:r>
      <w:r>
        <w:t xml:space="preserve">dhūpa-gan(dh)a-mālya-pu</w:t>
      </w:r>
      <w:r>
        <w:rPr>
          <w:rStyle w:val="ColorRed"/>
        </w:rPr>
        <w:t xml:space="preserve">¿ppa?</w:t>
      </w:r>
      <w:r>
        <w:rPr>
          <w:rStyle w:val="ColorGreen"/>
        </w:rPr>
        <w:t xml:space="preserve">⟨ṣpo⟩</w:t>
      </w:r>
      <w:r>
        <w:t xml:space="preserve">payojyaṁ devāgrāhāra-krameṇa śāśvatam ācandrā</w:t>
      </w:r>
      <w:r>
        <w:rPr>
          <w:rStyle w:val="ColorRed"/>
        </w:rPr>
        <w:t xml:space="preserve">¿rk?</w:t>
      </w:r>
      <w:r>
        <w:t xml:space="preserve">a-tāra</w:t>
      </w:r>
      <w:r>
        <w:rPr>
          <w:rStyle w:val="ColorGray"/>
        </w:rPr>
        <w:t xml:space="preserve">⟨6⟩</w:t>
      </w:r>
      <w:r>
        <w:t xml:space="preserve">kā-kālīnaṁ bhogāyaivam idānīm asyāsmābhiḥ kr̥tānujñasyocitayā devāgrā</w:t>
      </w:r>
      <w:r>
        <w:rPr>
          <w:rStyle w:val="ColorGray"/>
        </w:rPr>
        <w:t xml:space="preserve">⟨7⟩</w:t>
      </w:r>
      <w:r>
        <w:t xml:space="preserve">hāra-bhuktyā tad-devakulāśritāḥ pāśupatācāryya-bhagavac-chi</w:t>
      </w:r>
      <w:r>
        <w:rPr>
          <w:rStyle w:val="ColorRed"/>
        </w:rPr>
        <w:t xml:space="preserve">¿nta?</w:t>
      </w:r>
      <w:r>
        <w:rPr>
          <w:rStyle w:val="ColorGreen"/>
        </w:rPr>
        <w:t xml:space="preserve">⟨ṣṭā⟩</w:t>
      </w:r>
      <w:r>
        <w:t xml:space="preserve">dayo deva-karmmi</w:t>
      </w:r>
      <w:r>
        <w:rPr>
          <w:rStyle w:val="ColorGray"/>
        </w:rPr>
        <w:t xml:space="preserve">⟨8⟩</w:t>
      </w:r>
      <w:r>
        <w:t xml:space="preserve">ṇaś ca bhuñjānās samāvāsayānāś ca sarvvair evāsmat-pa⟨kṣa⟩-tat-kulyādibhiḥ samanumanta</w:t>
      </w:r>
      <w:r>
        <w:rPr>
          <w:rStyle w:val="ColorGray"/>
        </w:rPr>
        <w:t xml:space="preserve">⟨9⟩</w:t>
      </w:r>
      <w:r>
        <w:t xml:space="preserve">vyam i</w:t>
      </w:r>
      <w:r>
        <w:rPr>
          <w:rStyle w:val="ColorRed"/>
        </w:rPr>
        <w:t xml:space="preserve">¿d?</w:t>
      </w:r>
      <w:r>
        <w:rPr>
          <w:rStyle w:val="ColorGreen"/>
        </w:rPr>
        <w:t xml:space="preserve">⟨t⟩</w:t>
      </w:r>
      <w:r>
        <w:t xml:space="preserve">i</w:t>
      </w:r>
    </w:p>
    <w:p>
      <w:pPr>
        <w:pStyle w:val="BodyText"/>
      </w:pPr>
      <w:r>
        <w:t xml:space="preserve">pratihāra-śramaṇaka-dūtakaḥ</w:t>
      </w:r>
    </w:p>
    <w:p>
      <w:pPr>
        <w:pStyle w:val="BodyText"/>
      </w:pPr>
      <w:r>
        <w:t xml:space="preserve">varṣe 50 7 phālgu ba 10 3</w:t>
      </w:r>
    </w:p>
    <w:p>
      <w:pPr>
        <w:pStyle w:val="BodyText"/>
      </w:pPr>
      <w:r>
        <w:rPr>
          <w:rStyle w:val="ColorGray"/>
        </w:rPr>
        <w:t xml:space="preserve">⟨01⟩</w:t>
      </w:r>
      <w:r>
        <w:rPr>
          <w:rStyle w:val="ColorGray"/>
        </w:rPr>
        <w:t xml:space="preserve"> </w:t>
      </w:r>
      <w:r>
        <w:t xml:space="preserve">mahārāja-bhuluṇḍasya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hyperlink r:id="rId9">
        <w:r>
          <w:rPr>
            <w:rStyle w:val="Hyperlink"/>
          </w:rPr>
          <w:t xml:space="preserve">Ramesh &amp; Tewari 1990</w:t>
        </w:r>
      </w:hyperlink>
      <w:r>
        <w:t xml:space="preserve">, pp. 25–27.</w:t>
      </w:r>
    </w:p>
    <w:p>
      <w:pPr>
        <w:pStyle w:val="BodyText"/>
      </w:pPr>
      <w:r>
        <w:t xml:space="preserve">Originally encoded for Siddham in the project Beyond Boundaries (Grant Agreement No. 609823) by Dániel Balogh (</w:t>
      </w:r>
      <w:hyperlink r:id="rId10">
        <w:r>
          <w:rPr>
            <w:rStyle w:val="Hyperlink"/>
          </w:rPr>
          <w:t xml:space="preserve">2019</w:t>
        </w:r>
      </w:hyperlink>
      <w:r>
        <w:t xml:space="preserve">, № IN00512). Encoding updated to DHARMA conventions by Dániel Balogh.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https://dharmalekha.info/bibliography/entry/Balogh2019_03" TargetMode="External" /><Relationship Type="http://schemas.openxmlformats.org/officeDocument/2006/relationships/hyperlink" Id="rId9" Target="https://dharmalekha.info/bibliography/entry/Ramesh%2BTewari1990_0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dharmalekha.info/bibliography/entry/Balogh2019_03" TargetMode="External" /><Relationship Type="http://schemas.openxmlformats.org/officeDocument/2006/relationships/hyperlink" Id="rId9" Target="https://dharmalekha.info/bibliography/entry/Ramesh%2BTewari1990_01" TargetMode="External" 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Bagh Hoard (12) Charter of Bhuluṇḍa, Year 57</dc:title>
  <dc:creator>Dániel Balogh</dc:creator>
  <cp:keywords/>
  <dcterms:created xsi:type="dcterms:W3CDTF">2026-10-26T20:54:40Z</dcterms:created>
  <dcterms:modified xsi:type="dcterms:W3CDTF">2026-10-26T20:54:40Z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