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Bagh Hoard (1) Charter of Bhuluṇḍa, Year 47</w:t>
      </w:r>
    </w:p>
    <w:p>
      <w:pPr>
        <w:pStyle w:val="Author"/>
      </w:pPr>
      <w:r>
        <w:t xml:space="preserve">Dániel Balogh</w:t>
      </w:r>
    </w:p>
    <w:p>
      <w:pPr>
        <w:pStyle w:val="FirstParagraph"/>
      </w:pPr>
      <w:r>
        <w:t xml:space="preserve">Author of digital edition: Dániel Balogh</w:t>
      </w:r>
    </w:p>
    <w:p>
      <w:pPr>
        <w:pStyle w:val="BodyText"/>
      </w:pPr>
      <w:r>
        <w:t xml:space="preserve">Identifier: DHARMA_INSSiddham00501</w:t>
      </w:r>
    </w:p>
    <w:p>
      <w:pPr>
        <w:pStyle w:val="BodyText"/>
      </w:pPr>
      <w:r>
        <w:t xml:space="preserve">Repository: SIDDHAM (siddham)</w:t>
      </w:r>
    </w:p>
    <w:p>
      <w:pPr>
        <w:pStyle w:val="BodyText"/>
      </w:pPr>
      <w:r>
        <w:t xml:space="preserve">File path: XML-Provisional/DHARMA_INSSiddham00501.xml</w:t>
      </w:r>
    </w:p>
    <w:p>
      <w:pPr>
        <w:pStyle w:val="BodyText"/>
      </w:pPr>
      <w:r>
        <w:t xml:space="preserve">Language: Sanskrit [Southern Brāhmī (unspecified)]</w:t>
      </w:r>
    </w:p>
    <w:p>
      <w:pPr>
        <w:pStyle w:val="BodyText"/>
      </w:pPr>
      <w:r>
        <w:t xml:space="preserve">Commit: 2026-09-16 10:40 (3083d2d), last modified 2026-09-16 09:24 (c200993)</w:t>
      </w:r>
    </w:p>
    <w:p>
      <w:r>
        <w:pict>
          <v:rect style="width:0;height:1.5pt" o:hralign="center" o:hrstd="t" o:hr="t"/>
        </w:pict>
      </w:r>
    </w:p>
    <w:p>
      <w:pPr>
        <w:pStyle w:val="Heading1"/>
      </w:pPr>
      <w:r>
        <w:t xml:space="preserve">Edition</w:t>
      </w:r>
    </w:p>
    <w:p>
      <w:pPr>
        <w:pStyle w:val="FirstParagraph"/>
      </w:pPr>
      <w:r>
        <w:rPr>
          <w:rStyle w:val="ColorGray"/>
        </w:rPr>
        <w:t xml:space="preserve"> </w:t>
      </w:r>
      <w:r>
        <w:rPr>
          <w:rStyle w:val="ColorGray"/>
        </w:rPr>
        <w:t xml:space="preserve">⟨1⟩</w:t>
      </w:r>
      <w:r>
        <w:rPr>
          <w:rStyle w:val="ColorGray"/>
        </w:rPr>
        <w:t xml:space="preserve"> </w:t>
      </w:r>
      <w:r>
        <w:t xml:space="preserve">svasti⟨.⟩ valkhāḥ paramabhaṭṭāraka pādānuddhyātena sarvva-bhūtānugrahānukampinā mahārāja-bhuluṇḍena bhagavataḥ surāsura-naroraga-guroḥ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⟨2⟩</w:t>
      </w:r>
      <w:r>
        <w:rPr>
          <w:rStyle w:val="ColorGray"/>
        </w:rPr>
        <w:t xml:space="preserve"> </w:t>
      </w:r>
      <w:r>
        <w:t xml:space="preserve">Amara-vara-ripu-rudhira-srita-śara-prasarasyaikārṇṇava-vipula-vimala-paryyaṅka-tala-śāyinaḥ nābhi-sambhavāravinda-ṣaṭpadopagīyamāna-nidrasya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⟨3⟩</w:t>
      </w:r>
      <w:r>
        <w:rPr>
          <w:rStyle w:val="ColorGray"/>
        </w:rPr>
        <w:t xml:space="preserve"> </w:t>
      </w:r>
      <w:r>
        <w:t xml:space="preserve">śāṅkha-bāṇa-śakti-cakra-nandaka-jvalāṅgadāgra-śūla-bhāsvarāṣṭa-bāhu-śālinaḥ bali-naraka-namuci-vara-turaga-bhujaga-daśavadana-k</w:t>
      </w:r>
      <w:r>
        <w:rPr>
          <w:rStyle w:val="ColorRed"/>
        </w:rPr>
        <w:t xml:space="preserve">¿ā?</w:t>
      </w:r>
      <w:r>
        <w:rPr>
          <w:rStyle w:val="ColorGreen"/>
        </w:rPr>
        <w:t xml:space="preserve">⟨a⟩</w:t>
      </w:r>
      <w:r>
        <w:rPr>
          <w:rStyle w:val="ColorRed"/>
        </w:rPr>
        <w:t xml:space="preserve">¿ṅ?</w:t>
      </w:r>
      <w:r>
        <w:rPr>
          <w:rStyle w:val="ColorGreen"/>
        </w:rPr>
        <w:t xml:space="preserve">⟨ṁ⟩</w:t>
      </w:r>
      <w:r>
        <w:t xml:space="preserve">sa- cānūr</w:t>
      </w:r>
      <w:r>
        <w:rPr>
          <w:rStyle w:val="ColorRed"/>
        </w:rPr>
        <w:t xml:space="preserve">¿a?</w:t>
      </w:r>
      <w:r>
        <w:rPr>
          <w:rStyle w:val="ColorGreen"/>
        </w:rPr>
        <w:t xml:space="preserve">⟨ā⟩</w:t>
      </w:r>
      <w:r>
        <w:rPr>
          <w:rStyle w:val="ColorGray"/>
        </w:rPr>
        <w:t xml:space="preserve">⟨4⟩</w:t>
      </w:r>
      <w:r>
        <w:t xml:space="preserve">riṣṭa-śiśupāla-darppa-mathanasya jaga-skannod(dh)araṇa-varāhasya</w:t>
      </w:r>
      <w:r>
        <w:t xml:space="preserve"> </w:t>
      </w:r>
      <w:r>
        <w:rPr>
          <w:rStyle w:val="ColorRed"/>
        </w:rPr>
        <w:t xml:space="preserve">¿ā?</w:t>
      </w:r>
      <w:r>
        <w:rPr>
          <w:rStyle w:val="ColorGreen"/>
        </w:rPr>
        <w:t xml:space="preserve">⟨a⟩</w:t>
      </w:r>
      <w:r>
        <w:t xml:space="preserve">nādi-madhya-ni</w:t>
      </w:r>
      <w:r>
        <w:rPr>
          <w:rStyle w:val="ColorRed"/>
        </w:rPr>
        <w:t xml:space="preserve">¿th?</w:t>
      </w:r>
      <w:r>
        <w:rPr>
          <w:rStyle w:val="ColorGreen"/>
        </w:rPr>
        <w:t xml:space="preserve">⟨dh⟩</w:t>
      </w:r>
      <w:r>
        <w:t xml:space="preserve">anasya sura-gaṇālaṅkariṣṇos trailokya-prabhaviṣṇor asura-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⟨5⟩</w:t>
      </w:r>
      <w:r>
        <w:rPr>
          <w:rStyle w:val="ColorGray"/>
        </w:rPr>
        <w:t xml:space="preserve"> </w:t>
      </w:r>
      <w:r>
        <w:t xml:space="preserve">gaṇa-jiṣṇo⟨r⟩ vviṣṇoḥ parame</w:t>
      </w:r>
      <w:r>
        <w:rPr>
          <w:rStyle w:val="ColorRed"/>
        </w:rPr>
        <w:t xml:space="preserve">¿n?</w:t>
      </w:r>
      <w:r>
        <w:rPr>
          <w:rStyle w:val="ColorGreen"/>
        </w:rPr>
        <w:t xml:space="preserve">⟨ṇ⟩</w:t>
      </w:r>
      <w:r>
        <w:t xml:space="preserve">a bhakti-snehānurāge</w:t>
      </w:r>
      <w:r>
        <w:rPr>
          <w:rStyle w:val="ColorRed"/>
        </w:rPr>
        <w:t xml:space="preserve">¿n?</w:t>
      </w:r>
      <w:r>
        <w:rPr>
          <w:rStyle w:val="ColorGreen"/>
        </w:rPr>
        <w:t xml:space="preserve">⟨ṇ⟩</w:t>
      </w:r>
      <w:r>
        <w:t xml:space="preserve">a śirasā praṇipatya bali-caru-satropayojya-grāmāḥ pañca bhogatvenātisr̥ṣṭās tad-yathātra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⟨6⟩</w:t>
      </w:r>
      <w:r>
        <w:rPr>
          <w:rStyle w:val="ColorGray"/>
        </w:rPr>
        <w:t xml:space="preserve"> </w:t>
      </w:r>
      <w:r>
        <w:t xml:space="preserve">narmmadā-dakṣiṇa-taṭe Ukkārīpadrakaṁ dubhodikā-grāmaḥ bheṭuṅkalikā-grāmaḥ sajjarhradaka-grāmaḥ vibhītaka-pānīyakaṁ ca karmmānta-grāmaḥ</w:t>
      </w:r>
    </w:p>
    <w:p>
      <w:pPr>
        <w:pStyle w:val="BodyText"/>
      </w:pPr>
      <w:r>
        <w:t xml:space="preserve">Eva</w:t>
      </w:r>
      <w:r>
        <w:rPr>
          <w:rStyle w:val="ColorGray"/>
        </w:rPr>
        <w:t xml:space="preserve">⟨7⟩</w:t>
      </w:r>
      <w:r>
        <w:t xml:space="preserve">m etā</w:t>
      </w:r>
      <w:r>
        <w:rPr>
          <w:rStyle w:val="ColorRed"/>
        </w:rPr>
        <w:t xml:space="preserve">¿ṁ?</w:t>
      </w:r>
      <w:r>
        <w:rPr>
          <w:rStyle w:val="ColorGreen"/>
        </w:rPr>
        <w:t xml:space="preserve">⟨n⟩</w:t>
      </w:r>
      <w:r>
        <w:t xml:space="preserve"> </w:t>
      </w:r>
      <w:r>
        <w:t xml:space="preserve">grāmān vijñāya devopayojyā</w:t>
      </w:r>
      <w:r>
        <w:rPr>
          <w:rStyle w:val="ColorRed"/>
        </w:rPr>
        <w:t xml:space="preserve">¿ṁ?</w:t>
      </w:r>
      <w:r>
        <w:rPr>
          <w:rStyle w:val="ColorGreen"/>
        </w:rPr>
        <w:t xml:space="preserve">⟨n⟩</w:t>
      </w:r>
      <w:r>
        <w:t xml:space="preserve"> </w:t>
      </w:r>
      <w:r>
        <w:t xml:space="preserve">bhujyamānāṁ śāśvatam ācandrārkka-tārakā-kālīnā</w:t>
      </w:r>
      <w:r>
        <w:rPr>
          <w:rStyle w:val="ColorRed"/>
        </w:rPr>
        <w:t xml:space="preserve">¿ṁ?</w:t>
      </w:r>
      <w:r>
        <w:rPr>
          <w:rStyle w:val="ColorGreen"/>
        </w:rPr>
        <w:t xml:space="preserve">⟨n⟩</w:t>
      </w:r>
      <w:r>
        <w:t xml:space="preserve"> </w:t>
      </w:r>
      <w:r>
        <w:t xml:space="preserve">a-bhāgam a-bhaṭa-prāveśyā</w:t>
      </w:r>
      <w:r>
        <w:rPr>
          <w:rStyle w:val="ColorRed"/>
        </w:rPr>
        <w:t xml:space="preserve">¿ṁ?</w:t>
      </w:r>
      <w:r>
        <w:rPr>
          <w:rStyle w:val="ColorGreen"/>
        </w:rPr>
        <w:t xml:space="preserve">⟨n⟩</w:t>
      </w:r>
      <w:r>
        <w:t xml:space="preserve"> </w:t>
      </w:r>
      <w:r>
        <w:t xml:space="preserve">sarvvair evāsmat-pakṣa-tat-kulīna-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⟨8⟩</w:t>
      </w:r>
      <w:r>
        <w:rPr>
          <w:rStyle w:val="ColorGray"/>
        </w:rPr>
        <w:t xml:space="preserve"> </w:t>
      </w:r>
      <w:r>
        <w:t xml:space="preserve">dauvārikārakṣika-preṣaṇika-bhaṭa-cchatrādibhiḥ samanumantavyam iti</w:t>
      </w:r>
    </w:p>
    <w:p>
      <w:pPr>
        <w:pStyle w:val="BodyText"/>
      </w:pPr>
      <w:r>
        <w:t xml:space="preserve">pañca-kārukaṁ ca samukhaṁ</w:t>
      </w:r>
    </w:p>
    <w:p>
      <w:pPr>
        <w:pStyle w:val="BodyText"/>
      </w:pPr>
      <w:r>
        <w:t xml:space="preserve">varṣe 40 7 pauṣa ba 8</w:t>
      </w:r>
    </w:p>
    <w:p>
      <w:pPr>
        <w:pStyle w:val="BodyText"/>
      </w:pPr>
      <w:r>
        <w:rPr>
          <w:rStyle w:val="ColorGray"/>
        </w:rPr>
        <w:t xml:space="preserve">⟨01⟩</w:t>
      </w:r>
      <w:r>
        <w:rPr>
          <w:rStyle w:val="ColorGray"/>
        </w:rPr>
        <w:t xml:space="preserve"> </w:t>
      </w:r>
      <w:r>
        <w:t xml:space="preserve">svāmi-nārāyaṇadāsasya mahārāja-bhuluṇḍasya</w:t>
      </w:r>
    </w:p>
    <w:p>
      <w:pPr>
        <w:pStyle w:val="Heading1"/>
      </w:pPr>
      <w:r>
        <w:t xml:space="preserve">Bibliography</w:t>
      </w:r>
    </w:p>
    <w:p>
      <w:pPr>
        <w:pStyle w:val="FirstParagraph"/>
      </w:pPr>
      <w:hyperlink r:id="rId9">
        <w:r>
          <w:rPr>
            <w:rStyle w:val="Hyperlink"/>
          </w:rPr>
          <w:t xml:space="preserve">Ramesh &amp; Tewari 1990</w:t>
        </w:r>
      </w:hyperlink>
      <w:r>
        <w:t xml:space="preserve">, pp. 1–3.</w:t>
      </w:r>
    </w:p>
    <w:p>
      <w:pPr>
        <w:pStyle w:val="BodyText"/>
      </w:pPr>
      <w:r>
        <w:t xml:space="preserve">Originally encoded for Siddham in the project Beyond Boundaries (Grant Agreement No. 609823) by Dániel Balogh (</w:t>
      </w:r>
      <w:hyperlink r:id="rId10">
        <w:r>
          <w:rPr>
            <w:rStyle w:val="Hyperlink"/>
          </w:rPr>
          <w:t xml:space="preserve">2019</w:t>
        </w:r>
      </w:hyperlink>
      <w:r>
        <w:t xml:space="preserve">, № IN00501). Encoding updated to DHARMA conventions by Dániel Balogh.</w:t>
      </w:r>
    </w:p>
    <w:sectPr>
      <w:footnotePr>
        <w:numFmt w:val="decimal"/>
        <w:numRestart w:val="eachSect"/>
      </w:footnotePr>
      <w:type w:val="nextPage"/>
      <w:pgSz w:h="15840" w:w="12240"/>
      <w:pgMar w:bottom="1440" w:footer="0" w:gutter="0" w:header="0" w:left="1440" w:right="1440" w:top="1440"/>
      <w:pgNumType w:fmt="decimal"/>
      <w:formProt w:val="false"/>
      <w:textDirection w:val="lrTb"/>
      <w:docGrid w:charSpace="0" w:linePitch="100" w:type="default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ptos">
    <w:charset w:val="01"/>
    <w:family w:val="auto"/>
    <w:pitch w:val="default"/>
  </w:font>
  <w:font w:name="Gentium">
    <w:charset w:val="01"/>
    <w:family w:val="auto"/>
    <w:pitch w:val="default"/>
  </w:font>
  <w:font w:name="Aptos Display">
    <w:charset w:val="01"/>
    <w:family w:val="auto"/>
    <w:pitch w:val="default"/>
  </w:font>
  <w:font w:name="Consolas">
    <w:charset w:val="01"/>
    <w:family w:val="auto"/>
    <w:pitch w:val="default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">
    <w:abstractNumId w:val="1"/>
  </w:num>
  <w:num w:numId="2">
    <w:abstractNumId w:val="2"/>
  </w: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75"/>
  <w:embedSystemFonts/>
  <w:proofState w:grammar="clean" w:spelling="clean"/>
  <w:stylePaneFormatFilter w:val="0004"/>
  <w:doNotTrackMoves/>
  <w:defaultTabStop w:val="720"/>
  <w:autoHyphenation w:val="true"/>
  <w:hyphenationZone w:val="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compatSetting w:name="compatibilityMode" w:uri="http://schemas.microsoft.com/office/word" w:val="12"/>
  </w:compat>
  <w:rsids>
  </w:rsids>
  <w:themeFontLang w:bidi="" w:eastAsia="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Aptos" w:asciiTheme="minorHAnsi" w:cs="" w:cstheme="minorBidi" w:eastAsia="Aptos" w:eastAsiaTheme="minorHAnsi" w:hAnsi="Aptos" w:hAnsiTheme="minorHAnsi"/>
        <w:sz w:val="24"/>
        <w:szCs w:val="24"/>
        <w:lang w:bidi="ar-SA" w:eastAsia="en-US" w:val="en-US"/>
      </w:rPr>
    </w:rPrDefault>
    <w:pPrDefault>
      <w:pPr>
        <w:suppressAutoHyphens w:val="true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widowControl/>
      <w:suppressAutoHyphens w:val="true"/>
      <w:bidi w:val="0"/>
      <w:spacing w:after="200" w:before="0" w:line="276" w:lineRule="auto"/>
      <w:jc w:val="left"/>
    </w:pPr>
    <w:rPr>
      <w:rFonts w:ascii="Gentium" w:cs="" w:cstheme="minorBidi" w:eastAsia="Aptos" w:eastAsiaTheme="minorHAnsi" w:hAnsi="Gentium"/>
      <w:color w:val="auto"/>
      <w:kern w:val="0"/>
      <w:sz w:val="24"/>
      <w:szCs w:val="24"/>
      <w:lang w:bidi="ar-SA" w:eastAsia="en-US" w:val="en-US"/>
    </w:rPr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 w:val="true"/>
      <w:keepLines/>
      <w:spacing w:after="80" w:before="360" w:line="240" w:lineRule="auto"/>
      <w:outlineLvl w:val="0"/>
    </w:pPr>
    <w:rPr>
      <w:rFonts w:ascii="Gentium" w:cs="" w:cstheme="majorBidi" w:eastAsia="" w:eastAsiaTheme="majorEastAsia" w:hAnsi="Gentium"/>
      <w:color w:val="auto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 w:val="true"/>
      <w:keepLines/>
      <w:spacing w:after="80" w:before="160"/>
      <w:outlineLvl w:val="1"/>
    </w:pPr>
    <w:rPr>
      <w:rFonts w:ascii="Gentium" w:cs="" w:cstheme="majorBidi" w:eastAsia="" w:eastAsiaTheme="majorEastAsia" w:hAnsi="Gentium"/>
      <w:color w:val="000000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 w:val="true"/>
      <w:keepLines/>
      <w:spacing w:after="80" w:before="160"/>
      <w:outlineLvl w:val="2"/>
    </w:pPr>
    <w:rPr>
      <w:rFonts w:ascii="Gentium" w:cs="" w:cstheme="majorBidi" w:eastAsia="" w:eastAsiaTheme="majorEastAsia" w:hAnsi="Gentium"/>
      <w:color w:val="000000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 w:val="true"/>
      <w:keepLines/>
      <w:spacing w:after="40" w:before="80"/>
      <w:outlineLvl w:val="3"/>
    </w:pPr>
    <w:rPr>
      <w:rFonts w:ascii="Gentium" w:cs="" w:cstheme="majorBidi" w:eastAsia="" w:eastAsiaTheme="majorEastAsia" w:hAnsi="Gentium"/>
      <w:i/>
      <w:iCs/>
      <w:color w:val="000000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 w:val="true"/>
      <w:keepLines/>
      <w:spacing w:after="40" w:before="80"/>
      <w:outlineLvl w:val="4"/>
    </w:pPr>
    <w:rPr>
      <w:rFonts w:ascii="Gentium" w:cs="" w:cstheme="majorBidi" w:eastAsia="" w:eastAsiaTheme="majorEastAsia" w:hAnsi="Gentium"/>
      <w:color w:val="000000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 w:val="true"/>
      <w:keepLines/>
      <w:spacing w:after="0" w:before="40"/>
      <w:outlineLvl w:val="5"/>
    </w:pPr>
    <w:rPr>
      <w:rFonts w:ascii="Gentium" w:cs="" w:cstheme="majorBidi" w:eastAsia="" w:eastAsiaTheme="majorEastAsia" w:hAnsi="Gentium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 w:val="true"/>
      <w:keepLines/>
      <w:spacing w:after="0" w:before="40"/>
      <w:outlineLvl w:val="6"/>
    </w:pPr>
    <w:rPr>
      <w:rFonts w:ascii="Gentium" w:cs="" w:cstheme="majorBidi" w:eastAsia="" w:eastAsiaTheme="majorEastAsia" w:hAnsi="Gentium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 w:val="true"/>
      <w:keepLines/>
      <w:spacing w:after="0" w:before="0"/>
      <w:outlineLvl w:val="7"/>
    </w:pPr>
    <w:rPr>
      <w:rFonts w:ascii="Gentium" w:cs="" w:cstheme="majorBidi" w:eastAsia="" w:eastAsiaTheme="majorEastAsia" w:hAnsi="Gentium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 w:val="true"/>
      <w:keepLines/>
      <w:spacing w:after="0" w:before="0"/>
      <w:outlineLvl w:val="8"/>
    </w:pPr>
    <w:rPr>
      <w:rFonts w:ascii="Gentium" w:cs="" w:cstheme="majorBidi" w:eastAsia="" w:eastAsiaTheme="majorEastAsia" w:hAnsi="Gentium"/>
      <w:color w:themeColor="text1" w:themeTint="d8" w:val="272727"/>
    </w:rPr>
  </w:style>
  <w:style w:customStyle="1" w:styleId="TitleChar" w:type="character">
    <w:name w:val="Title Char"/>
    <w:basedOn w:val="DefaultParagraphFont"/>
    <w:link w:val="Title"/>
    <w:uiPriority w:val="10"/>
    <w:qFormat/>
    <w:rsid w:val="00a10fd9"/>
    <w:rPr>
      <w:rFonts w:ascii="Aptos Display" w:asciiTheme="majorHAnsi" w:cs="" w:cstheme="majorBidi" w:eastAsia="" w:eastAsiaTheme="majorEastAsia" w:hAnsi="Aptos Display" w:hAnsiTheme="majorHAnsi"/>
      <w:sz w:val="56"/>
      <w:szCs w:val="56"/>
    </w:rPr>
  </w:style>
  <w:style w:customStyle="1" w:styleId="SubtitleChar" w:type="character">
    <w:name w:val="Subtitle Char"/>
    <w:basedOn w:val="DefaultParagraphFont"/>
    <w:link w:val="Subtitle"/>
    <w:uiPriority w:val="11"/>
    <w:qFormat/>
    <w:rsid w:val="00a10fd9"/>
    <w:rPr>
      <w:rFonts w:cs="" w:cstheme="majorBidi" w:eastAsia="" w:eastAsiaTheme="majorEastAsia"/>
      <w:color w:themeColor="text1" w:themeTint="a6" w:val="595959"/>
      <w:spacing w:val="15"/>
      <w:sz w:val="28"/>
      <w:szCs w:val="28"/>
    </w:rPr>
  </w:style>
  <w:style w:customStyle="1" w:styleId="Heading1Char" w:type="character">
    <w:name w:val="Heading 1 Char"/>
    <w:basedOn w:val="DefaultParagraphFont"/>
    <w:link w:val="Heading1"/>
    <w:uiPriority w:val="9"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qFormat/>
    <w:rsid w:val="00a10fd9"/>
    <w:rPr>
      <w:rFonts w:cs="" w:cstheme="majorBidi" w:eastAsia="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qFormat/>
    <w:rsid w:val="00a10fd9"/>
    <w:rPr>
      <w:rFonts w:cs="" w:cstheme="majorBidi" w:eastAsia="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qFormat/>
    <w:rsid w:val="00a10fd9"/>
    <w:rPr>
      <w:rFonts w:cs="" w:cstheme="majorBidi" w:eastAsia="" w:eastAsiaTheme="majorEastAsia"/>
      <w:color w:themeColor="text1" w:themeTint="d8" w:val="272727"/>
    </w:rPr>
  </w:style>
  <w:style w:default="1" w:styleId="DefaultParagraphFont" w:type="character">
    <w:name w:val="Default Paragraph Font"/>
    <w:semiHidden/>
    <w:unhideWhenUsed/>
    <w:qFormat/>
    <w:rPr/>
  </w:style>
  <w:style w:customStyle="1" w:styleId="BodyTextChar" w:type="character">
    <w:name w:val="Body Text Char"/>
    <w:basedOn w:val="DefaultParagraphFont"/>
    <w:qFormat/>
    <w:rPr/>
  </w:style>
  <w:style w:customStyle="1" w:styleId="VerbatimChar" w:type="character">
    <w:name w:val="Verbatim Char"/>
    <w:basedOn w:val="BodyTextChar"/>
    <w:qFormat/>
    <w:rPr>
      <w:rFonts w:ascii="Consolas" w:hAnsi="Consolas"/>
      <w:sz w:val="22"/>
    </w:rPr>
  </w:style>
  <w:style w:customStyle="1" w:styleId="SectionNumber" w:type="character">
    <w:name w:val="Section Number"/>
    <w:basedOn w:val="BodyTextChar"/>
    <w:qFormat/>
    <w:rPr/>
  </w:style>
  <w:style w:styleId="FootnoteCharactersuser" w:type="character">
    <w:name w:val="Footnote Characters (user)"/>
    <w:qFormat/>
    <w:rPr>
      <w:vertAlign w:val="superscript"/>
    </w:rPr>
  </w:style>
  <w:style w:styleId="FootnoteCharacters" w:type="character">
    <w:name w:val="Footnote Characters"/>
    <w:qFormat/>
    <w:rPr>
      <w:vertAlign w:val="superscript"/>
    </w:rPr>
  </w:style>
  <w:style w:styleId="FootnoteReference" w:type="character">
    <w:name w:val="footnote reference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ColorGray" w:type="character">
    <w:name w:val="ColorGray"/>
    <w:basedOn w:val="BodyTextChar"/>
    <w:qFormat/>
    <w:rPr>
      <w:color w:val="666666"/>
    </w:rPr>
  </w:style>
  <w:style w:styleId="ColorGreen" w:type="character">
    <w:name w:val="ColorGreen"/>
    <w:basedOn w:val="DefaultParagraphFont"/>
    <w:qFormat/>
    <w:rPr>
      <w:color w:val="069A2E"/>
    </w:rPr>
  </w:style>
  <w:style w:styleId="ColorBrown" w:type="character">
    <w:name w:val="ColorBrown"/>
    <w:basedOn w:val="ColorGreen"/>
    <w:qFormat/>
    <w:rPr>
      <w:color w:val="784B04"/>
    </w:rPr>
  </w:style>
  <w:style w:styleId="CaptionCharactersuser" w:type="character">
    <w:name w:val="Caption Characters (user)"/>
    <w:qFormat/>
    <w:rPr/>
  </w:style>
  <w:style w:styleId="ColorRed" w:type="character">
    <w:name w:val="ColorRed"/>
    <w:basedOn w:val="CaptionCharactersuser"/>
    <w:qFormat/>
    <w:rPr>
      <w:color w:val="C9211E"/>
    </w:rPr>
  </w:style>
  <w:style w:styleId="ColorMagenta" w:type="character">
    <w:name w:val="ColorMagenta"/>
    <w:basedOn w:val="ColorBrown"/>
    <w:qFormat/>
    <w:rPr>
      <w:color w:val="800080"/>
    </w:rPr>
  </w:style>
  <w:style w:styleId="ColorBlue" w:type="character">
    <w:name w:val="ColorBlue"/>
    <w:basedOn w:val="ColorGray"/>
    <w:qFormat/>
    <w:rPr>
      <w:color w:val="2A6099"/>
    </w:rPr>
  </w:style>
  <w:style w:styleId="ColorBlack" w:type="character">
    <w:name w:val="ColorBlack"/>
    <w:basedOn w:val="ColorBlue"/>
    <w:qFormat/>
    <w:rPr>
      <w:color w:val="000000"/>
    </w:rPr>
  </w:style>
  <w:style w:styleId="EndnoteCharacters" w:type="character">
    <w:name w:val="Endnote Characters"/>
    <w:qFormat/>
    <w:rPr>
      <w:vertAlign w:val="superscript"/>
    </w:rPr>
  </w:style>
  <w:style w:styleId="EndnoteCharactersuser" w:type="character">
    <w:name w:val="Endnote Characters (user)"/>
    <w:qFormat/>
    <w:rPr>
      <w:vertAlign w:val="superscript"/>
    </w:rPr>
  </w:style>
  <w:style w:styleId="EndnoteReference" w:type="character">
    <w:name w:val="endnote reference"/>
    <w:rPr>
      <w:vertAlign w:val="superscript"/>
    </w:rPr>
  </w:style>
  <w:style w:styleId="Heading" w:type="paragraph">
    <w:name w:val="Heading"/>
    <w:basedOn w:val="Normal"/>
    <w:next w:val="BodyText"/>
    <w:qFormat/>
    <w:pPr>
      <w:keepNext w:val="true"/>
      <w:spacing w:after="120" w:before="240"/>
    </w:pPr>
    <w:rPr>
      <w:rFonts w:ascii="Gentium" w:cs="Noto Sans Devanagari" w:eastAsia="Noto Sans CJK SC" w:hAnsi="Gentium"/>
      <w:sz w:val="28"/>
      <w:szCs w:val="28"/>
    </w:rPr>
  </w:style>
  <w:style w:styleId="BodyText" w:type="paragraph">
    <w:name w:val="Body Text"/>
    <w:basedOn w:val="Normal"/>
    <w:link w:val="BodyTextChar"/>
    <w:qFormat/>
    <w:pPr>
      <w:spacing w:after="180" w:before="180" w:line="276" w:lineRule="auto"/>
    </w:pPr>
    <w:rPr>
      <w:rFonts w:ascii="Gentium" w:hAnsi="Gentium"/>
    </w:rPr>
  </w:style>
  <w:style w:styleId="List" w:type="paragraph">
    <w:name w:val="List"/>
    <w:basedOn w:val="BodyText"/>
    <w:pPr/>
    <w:rPr>
      <w:rFonts w:ascii="Gentium" w:cs="Noto Sans Devanagari" w:hAnsi="Gentium"/>
    </w:rPr>
  </w:style>
  <w:style w:styleId="Caption" w:type="paragraph">
    <w:name w:val="caption"/>
    <w:basedOn w:val="Normal"/>
    <w:link w:val="BodyTextChar"/>
    <w:qFormat/>
    <w:pPr>
      <w:spacing w:after="120" w:before="0"/>
    </w:pPr>
    <w:rPr>
      <w:rFonts w:ascii="Gentium" w:hAnsi="Gentium"/>
      <w:i/>
    </w:rPr>
  </w:style>
  <w:style w:styleId="Index" w:type="paragraph">
    <w:name w:val="Index"/>
    <w:basedOn w:val="Normal"/>
    <w:qFormat/>
    <w:pPr>
      <w:suppressLineNumbers/>
    </w:pPr>
    <w:rPr>
      <w:rFonts w:ascii="Gentium" w:cs="Noto Sans Devanagari" w:hAnsi="Gentium"/>
    </w:rPr>
  </w:style>
  <w:style w:customStyle="1" w:styleId="FirstParagraph" w:type="paragraph">
    <w:name w:val="First Paragraph"/>
    <w:basedOn w:val="BodyText"/>
    <w:next w:val="BodyText"/>
    <w:qFormat/>
    <w:pPr>
      <w:spacing w:line="276" w:lineRule="auto"/>
    </w:pPr>
    <w:rPr>
      <w:rFonts w:ascii="Gentium" w:hAnsi="Gentium"/>
    </w:rPr>
  </w:style>
  <w:style w:customStyle="1" w:styleId="Compact" w:type="paragraph">
    <w:name w:val="Compact"/>
    <w:basedOn w:val="BodyText"/>
    <w:qFormat/>
    <w:pPr>
      <w:spacing w:after="36" w:before="36"/>
    </w:pPr>
    <w:rPr/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before="0" w:line="240" w:lineRule="auto"/>
      <w:contextualSpacing/>
      <w:jc w:val="center"/>
    </w:pPr>
    <w:rPr>
      <w:rFonts w:ascii="Gentium" w:cs="" w:cstheme="majorBidi" w:eastAsia="" w:eastAsiaTheme="majorEastAsia" w:hAnsi="Gentium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/>
    <w:rPr>
      <w:rFonts w:cs="" w:cstheme="majorBidi" w:eastAsia="" w:eastAsiaTheme="majorEastAsia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 w:val="true"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 w:val="true"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 w:val="true"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 w:val="true"/>
      <w:keepLines/>
      <w:spacing w:after="300" w:before="100"/>
    </w:pPr>
    <w:rPr>
      <w:rFonts w:ascii="Gentium" w:hAnsi="Gentium"/>
      <w:sz w:val="20"/>
      <w:szCs w:val="20"/>
    </w:rPr>
  </w:style>
  <w:style w:styleId="Bibliography" w:type="paragraph">
    <w:name w:val="Bibliography"/>
    <w:basedOn w:val="Normal"/>
    <w:qFormat/>
    <w:pPr/>
    <w:rPr/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hanging="0" w:left="480" w:right="480"/>
    </w:pPr>
    <w:rPr/>
  </w:style>
  <w:style w:styleId="FootnoteText" w:type="paragraph">
    <w:name w:val="footnote text"/>
    <w:basedOn w:val="Normal"/>
    <w:uiPriority w:val="9"/>
    <w:unhideWhenUsed/>
    <w:qFormat/>
    <w:pPr/>
    <w:rPr>
      <w:rFonts w:ascii="Gentium" w:hAnsi="Gentium"/>
    </w:rPr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hanging="0" w:left="480" w:right="480"/>
    </w:pPr>
    <w:rPr>
      <w:rFonts w:ascii="Gentium" w:hAnsi="Gentium"/>
    </w:rPr>
  </w:style>
  <w:style w:customStyle="1" w:styleId="DefinitionTerm" w:type="paragraph">
    <w:name w:val="Definition Term"/>
    <w:basedOn w:val="Normal"/>
    <w:next w:val="Definition"/>
    <w:qFormat/>
    <w:pPr>
      <w:keepNext w:val="true"/>
      <w:keepLines/>
      <w:spacing w:after="0" w:before="0"/>
    </w:pPr>
    <w:rPr>
      <w:rFonts w:ascii="Gentium" w:hAnsi="Gentium"/>
      <w:b/>
    </w:rPr>
  </w:style>
  <w:style w:customStyle="1" w:styleId="Definition" w:type="paragraph">
    <w:name w:val="Definition"/>
    <w:basedOn w:val="Normal"/>
    <w:qFormat/>
    <w:pPr>
      <w:ind w:left="475"/>
    </w:pPr>
    <w:rPr>
      <w:rFonts w:ascii="Gentium" w:hAnsi="Gentium"/>
    </w:rPr>
  </w:style>
  <w:style w:customStyle="1" w:styleId="TableCaption" w:type="paragraph">
    <w:name w:val="Table Caption"/>
    <w:basedOn w:val="Caption"/>
    <w:qFormat/>
    <w:pPr>
      <w:keepNext w:val="true"/>
    </w:pPr>
    <w:rPr/>
  </w:style>
  <w:style w:customStyle="1" w:styleId="ImageCaption" w:type="paragraph">
    <w:name w:val="Image Caption"/>
    <w:basedOn w:val="Caption"/>
    <w:qFormat/>
    <w:pPr/>
    <w:rPr/>
  </w:style>
  <w:style w:customStyle="1" w:styleId="Figure" w:type="paragraph">
    <w:name w:val="Figure"/>
    <w:basedOn w:val="Normal"/>
    <w:qFormat/>
    <w:pPr/>
    <w:rPr/>
  </w:style>
  <w:style w:customStyle="1" w:styleId="CaptionedFigure" w:type="paragraph">
    <w:name w:val="Captioned Figure"/>
    <w:basedOn w:val="Figure"/>
    <w:qFormat/>
    <w:pPr>
      <w:keepNext w:val="true"/>
    </w:pPr>
    <w:rPr/>
  </w:style>
  <w:style w:styleId="IndexHeading" w:type="paragraph">
    <w:name w:val="index heading"/>
    <w:basedOn w:val="Heading"/>
    <w:pPr/>
    <w:rPr/>
  </w:style>
  <w:style w:styleId="TOCHeading" w:type="paragraph">
    <w:name w:val="TOC Heading"/>
    <w:basedOn w:val="Heading1"/>
    <w:next w:val="BodyText"/>
    <w:uiPriority w:val="39"/>
    <w:unhideWhenUsed/>
    <w:qFormat/>
    <w:pPr>
      <w:spacing w:after="80" w:before="240" w:line="259" w:lineRule="auto"/>
      <w:outlineLvl w:val="9"/>
    </w:pPr>
    <w:rPr>
      <w:rFonts w:ascii="Aptos Display" w:asciiTheme="majorHAnsi" w:cs="" w:cstheme="majorBidi" w:eastAsia="" w:eastAsiaTheme="majorEastAsia" w:hAnsi="Aptos Display" w:hAnsiTheme="majorHAnsi"/>
      <w:b w:val="false"/>
      <w:bCs w:val="false"/>
      <w:color w:themeColor="accent1" w:themeShade="bf" w:val="365F91"/>
    </w:rPr>
  </w:style>
  <w:style w:styleId="Heading10" w:type="paragraph">
    <w:name w:val="Heading 10"/>
    <w:basedOn w:val="Heading"/>
    <w:next w:val="BodyText"/>
    <w:qFormat/>
    <w:pPr>
      <w:numPr>
        <w:ilvl w:val="8"/>
        <w:numId w:val="1"/>
      </w:numPr>
      <w:spacing w:after="60" w:before="60"/>
      <w:outlineLvl w:val="8"/>
    </w:pPr>
    <w:rPr>
      <w:b/>
      <w:bCs/>
      <w:sz w:val="18"/>
      <w:szCs w:val="18"/>
    </w:rPr>
  </w:style>
  <w:style w:styleId="BodyTextIndent" w:type="paragraph">
    <w:name w:val="Body Text Indent"/>
    <w:basedOn w:val="BodyText"/>
    <w:pPr>
      <w:ind w:hanging="0" w:left="283"/>
    </w:pPr>
    <w:rPr/>
  </w:style>
  <w:style w:styleId="BlockQuotationuser" w:type="paragraph">
    <w:name w:val="Block Quotation (user)"/>
    <w:basedOn w:val="Normal"/>
    <w:qFormat/>
    <w:pPr>
      <w:spacing w:after="283" w:before="0"/>
      <w:ind w:hanging="0" w:left="567" w:right="567"/>
    </w:pPr>
    <w:rPr>
      <w:rFonts w:ascii="Gentium" w:hAnsi="Gentium"/>
    </w:rPr>
  </w:style>
  <w:style w:default="1" w:styleId="Table" w:type="table">
    <w:name w:val="Table"/>
    <w:basedOn w:val="TableNormal"/>
    <w:semiHidden/>
    <w:unhideWhenUsed/>
    <w:qFormat/>
    <w:tblPr>
      <w:tblCellMar>
        <w:top w:type="dxa" w:w="0"/>
        <w:left w:type="dxa" w:w="108"/>
        <w:bottom w:type="dxa" w:w="0"/>
        <w:right w:type="dxa" w:w="108"/>
      </w:tblCellMar>
    </w:tblPr>
    <w:tblStylePr w:type="firstRow">
      <w:tblPr/>
      <w:tcPr>
        <w:tcBorders>
          <w:bottom w:val="single"/>
        </w:tcBorders>
        <w:vAlign w:val="bottom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https://dharmalekha.info/bibliography/entry/Balogh2019_03" TargetMode="External" /><Relationship Type="http://schemas.openxmlformats.org/officeDocument/2006/relationships/hyperlink" Id="rId9" Target="https://dharmalekha.info/bibliography/entry/Ramesh%2BTewari1990_0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https://dharmalekha.info/bibliography/entry/Balogh2019_03" TargetMode="External" /><Relationship Type="http://schemas.openxmlformats.org/officeDocument/2006/relationships/hyperlink" Id="rId9" Target="https://dharmalekha.info/bibliography/entry/Ramesh%2BTewari1990_01" TargetMode="External" 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Application>LibreOffice/26.2.6.3$Linux_X86_64 LibreOffice_project/620$Build-3</Application>
  <AppVersion>15.0000</AppVersion>
  <Pages>2</Pages>
  <Words>60</Words>
  <Characters>366</Characters>
  <CharactersWithSpaces>396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Bagh Hoard (1) Charter of Bhuluṇḍa, Year 47</dc:title>
  <dc:creator>Dániel Balogh</dc:creator>
  <cp:keywords/>
  <dcterms:created xsi:type="dcterms:W3CDTF">2026-10-26T20:54:12Z</dcterms:created>
  <dcterms:modified xsi:type="dcterms:W3CDTF">2026-10-26T20:54:12Z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