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Balaghat Unfinished Charter of Pṛthivīṣeṇa II</w:t>
      </w:r>
    </w:p>
    <w:p>
      <w:pPr>
        <w:pStyle w:val="Author"/>
      </w:pPr>
      <w:r>
        <w:t xml:space="preserve">Dániel Balogh</w:t>
      </w:r>
    </w:p>
    <w:p>
      <w:pPr>
        <w:pStyle w:val="FirstParagraph"/>
      </w:pPr>
      <w:r>
        <w:t xml:space="preserve">Alternative title: Balaghat Plates of Prithivishena II</w:t>
      </w:r>
    </w:p>
    <w:p>
      <w:pPr>
        <w:pStyle w:val="BodyText"/>
      </w:pPr>
      <w:r>
        <w:t xml:space="preserve">Author of digital edition: Dániel Balogh</w:t>
      </w:r>
    </w:p>
    <w:p>
      <w:pPr>
        <w:pStyle w:val="BodyText"/>
      </w:pPr>
      <w:r>
        <w:t xml:space="preserve">Identifier: DHARMA_INSSiddham00175</w:t>
      </w:r>
    </w:p>
    <w:p>
      <w:pPr>
        <w:pStyle w:val="BodyText"/>
      </w:pPr>
      <w:r>
        <w:t xml:space="preserve">Repository: SIDDHAM (siddham)</w:t>
      </w:r>
    </w:p>
    <w:p>
      <w:pPr>
        <w:pStyle w:val="BodyText"/>
      </w:pPr>
      <w:r>
        <w:t xml:space="preserve">File path: XML-Provisional/DHARMA_INSSiddham00175.xml</w:t>
      </w:r>
    </w:p>
    <w:p>
      <w:pPr>
        <w:pStyle w:val="BodyText"/>
      </w:pPr>
      <w:r>
        <w:t xml:space="preserve">Language: Sanskrit [Southern Brāhmī (unspecified)]</w:t>
      </w:r>
    </w:p>
    <w:p>
      <w:pPr>
        <w:pStyle w:val="BodyText"/>
      </w:pPr>
      <w:r>
        <w:t xml:space="preserve">Commit: 2026-09-16 10:40 (3083d2d), last modified 2026-09-16 09:24 (c200993)</w:t>
      </w:r>
    </w:p>
    <w:p>
      <w:r>
        <w:pict>
          <v:rect style="width:0;height:1.5pt" o:hralign="center" o:hrstd="t" o:hr="t"/>
        </w:pict>
      </w:r>
    </w:p>
    <w:p>
      <w:pPr>
        <w:pStyle w:val="Heading1"/>
      </w:pPr>
      <w:r>
        <w:t xml:space="preserve">Edition</w:t>
      </w:r>
    </w:p>
    <w:p>
      <w:pPr>
        <w:pStyle w:val="FirstParagraph"/>
      </w:pPr>
      <w:r>
        <w:rPr>
          <w:rStyle w:val="ColorGray"/>
        </w:rPr>
        <w:t xml:space="preserve">⟨Page 1v⟩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⟨1⟩</w:t>
      </w:r>
      <w:r>
        <w:rPr>
          <w:rStyle w:val="ColorGray"/>
        </w:rPr>
        <w:t xml:space="preserve"> </w:t>
      </w:r>
      <w:r>
        <w:t xml:space="preserve">____ vembāra-vāsakād agniṣṭomāptoryyāmokthya-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⟨2⟩</w:t>
      </w:r>
      <w:r>
        <w:rPr>
          <w:rStyle w:val="ColorGray"/>
        </w:rPr>
        <w:t xml:space="preserve"> </w:t>
      </w:r>
      <w:r>
        <w:t xml:space="preserve">ṣoḍaśy-atirātra-vājapeya-br̥haspati-sava-sādya</w:t>
      </w:r>
      <w:r>
        <w:rPr>
          <w:rStyle w:val="ColorGray"/>
        </w:rPr>
        <w:t xml:space="preserve">⟨3⟩</w:t>
      </w:r>
      <w:r>
        <w:t xml:space="preserve">skra-catur-aśvamedha-yājina⟨ḥ⟩ viṣṇuvr̥ddha-sagotra</w:t>
      </w:r>
      <w:r>
        <w:rPr>
          <w:rStyle w:val="ColorGray"/>
        </w:rPr>
        <w:t xml:space="preserve">⟨4⟩</w:t>
      </w:r>
      <w:r>
        <w:t xml:space="preserve">sya samrāṬ vākāṭakānāṁ mahārāja-śr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-pravarase</w:t>
      </w:r>
      <w:r>
        <w:rPr>
          <w:rStyle w:val="ColorGray"/>
        </w:rPr>
        <w:t xml:space="preserve">⟨5⟩</w:t>
      </w:r>
      <w:r>
        <w:t xml:space="preserve">nasya ◯ sūnos sūnoḥ Atyanta-svāmi-mahā-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⟨6⟩</w:t>
      </w:r>
      <w:r>
        <w:rPr>
          <w:rStyle w:val="ColorGray"/>
        </w:rPr>
        <w:t xml:space="preserve"> </w:t>
      </w:r>
      <w:r>
        <w:t xml:space="preserve">bhairava-bha◯ktasya{|} A</w:t>
      </w:r>
      <w:r>
        <w:rPr>
          <w:rStyle w:val="ColorRed"/>
        </w:rPr>
        <w:t xml:space="preserve">¿n?</w:t>
      </w:r>
      <w:r>
        <w:t xml:space="preserve">sa-bhāra-sa</w:t>
      </w:r>
      <w:r>
        <w:rPr>
          <w:rStyle w:val="ColorRed"/>
        </w:rPr>
        <w:t xml:space="preserve">¿ṇṇ?</w:t>
      </w:r>
      <w:r>
        <w:rPr>
          <w:rStyle w:val="ColorGreen"/>
        </w:rPr>
        <w:t xml:space="preserve">⟨nn⟩</w:t>
      </w:r>
      <w:r>
        <w:t xml:space="preserve">iveśita-śiva-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⟨7⟩</w:t>
      </w:r>
      <w:r>
        <w:rPr>
          <w:rStyle w:val="ColorGray"/>
        </w:rPr>
        <w:t xml:space="preserve"> </w:t>
      </w:r>
      <w:r>
        <w:t xml:space="preserve">liṅgodvahana-⊔śiva-suparituṣṭa-⊔samutpādita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⟨8⟩</w:t>
      </w:r>
      <w:r>
        <w:rPr>
          <w:rStyle w:val="ColorGray"/>
        </w:rPr>
        <w:t xml:space="preserve"> </w:t>
      </w:r>
      <w:r>
        <w:t xml:space="preserve">rāja-va</w:t>
      </w:r>
      <w:r>
        <w:rPr>
          <w:rStyle w:val="ColorRed"/>
        </w:rPr>
        <w:t xml:space="preserve">¿ṅ?</w:t>
      </w:r>
      <w:r>
        <w:t xml:space="preserve">śānām parākramādhigata-bhāg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ratthy-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mala-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⟨9⟩</w:t>
      </w:r>
      <w:r>
        <w:rPr>
          <w:rStyle w:val="ColorGray"/>
        </w:rPr>
        <w:t xml:space="preserve"> </w:t>
      </w:r>
      <w:r>
        <w:t xml:space="preserve">jala-mūrddhābhiṣiktānā</w:t>
      </w:r>
      <w:r>
        <w:rPr>
          <w:rStyle w:val="ColorRed"/>
        </w:rPr>
        <w:t xml:space="preserve">¿n?</w:t>
      </w:r>
      <w:r>
        <w:t xml:space="preserve"> </w:t>
      </w:r>
      <w:r>
        <w:t xml:space="preserve">daśāśvamedhāva</w:t>
      </w:r>
      <w:r>
        <w:rPr>
          <w:rStyle w:val="ColorGray"/>
        </w:rPr>
        <w:t xml:space="preserve">⟨Page 2r⟩</w:t>
      </w:r>
      <w:r>
        <w:rPr>
          <w:rStyle w:val="ColorGray"/>
        </w:rPr>
        <w:t xml:space="preserve">⟨10⟩</w:t>
      </w:r>
      <w:r>
        <w:t xml:space="preserve">bhr̥tha-snātanā_m bhāraśivānām mahārāja-śr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-rudrase</w:t>
      </w:r>
      <w:r>
        <w:rPr>
          <w:rStyle w:val="ColorGray"/>
        </w:rPr>
        <w:t xml:space="preserve">⟨11⟩</w:t>
      </w:r>
      <w:r>
        <w:t xml:space="preserve">nasya sūnoḥ Atyanta-māheśvarasya satyārjjava-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⟨12⟩</w:t>
      </w:r>
      <w:r>
        <w:rPr>
          <w:rStyle w:val="ColorGray"/>
        </w:rPr>
        <w:t xml:space="preserve"> </w:t>
      </w:r>
      <w:r>
        <w:t xml:space="preserve">kāru</w:t>
      </w:r>
      <w:r>
        <w:rPr>
          <w:rStyle w:val="ColorRed"/>
        </w:rPr>
        <w:t xml:space="preserve">¿n?</w:t>
      </w:r>
      <w:r>
        <w:rPr>
          <w:rStyle w:val="ColorGreen"/>
        </w:rPr>
        <w:t xml:space="preserve">⟨ṇ⟩</w:t>
      </w:r>
      <w:r>
        <w:t xml:space="preserve">ya-śauryya-vikkrama-naya-vinaya-māhā</w:t>
      </w:r>
      <w:r>
        <w:rPr>
          <w:rStyle w:val="ColorGray"/>
        </w:rPr>
        <w:t xml:space="preserve">⟨13⟩</w:t>
      </w:r>
      <w:r>
        <w:t xml:space="preserve">tmya-dh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ma</w:t>
      </w:r>
      <w:r>
        <w:rPr>
          <w:rStyle w:val="ColorRed"/>
        </w:rPr>
        <w:t xml:space="preserve">¿tv?</w:t>
      </w:r>
      <w:r>
        <w:t xml:space="preserve">a-◯pātra-gata-bhaktitva-dharmm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-vijayitva-ma</w:t>
      </w:r>
      <w:r>
        <w:rPr>
          <w:rStyle w:val="ColorRed"/>
        </w:rPr>
        <w:t xml:space="preserve">¿ṇ?</w:t>
      </w:r>
      <w:r>
        <w:rPr>
          <w:rStyle w:val="ColorGreen"/>
        </w:rPr>
        <w:t xml:space="preserve">⟨n⟩</w:t>
      </w:r>
      <w:r>
        <w:t xml:space="preserve">o-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⟨14⟩</w:t>
      </w:r>
      <w:r>
        <w:rPr>
          <w:rStyle w:val="ColorGray"/>
        </w:rPr>
        <w:t xml:space="preserve"> </w:t>
      </w:r>
      <w:r>
        <w:t xml:space="preserve">nairmm</w:t>
      </w:r>
      <w:r>
        <w:rPr>
          <w:rStyle w:val="ColorRed"/>
        </w:rPr>
        <w:t xml:space="preserve">¿ā?</w:t>
      </w:r>
      <w:r>
        <w:rPr>
          <w:rStyle w:val="ColorGreen"/>
        </w:rPr>
        <w:t xml:space="preserve">⟨a⟩</w:t>
      </w:r>
      <w:r>
        <w:t xml:space="preserve">◯lyādi{r}guṇa-samuditasya va</w:t>
      </w:r>
      <w:r>
        <w:rPr>
          <w:rStyle w:val="ColorRed"/>
        </w:rPr>
        <w:t xml:space="preserve">¿rṣṣ?</w:t>
      </w:r>
      <w:r>
        <w:t xml:space="preserve">a-śata</w:t>
      </w:r>
      <w:r>
        <w:rPr>
          <w:rStyle w:val="ColorGray"/>
        </w:rPr>
        <w:t xml:space="preserve">⟨15⟩</w:t>
      </w:r>
      <w:r>
        <w:t xml:space="preserve">m abhivarddhamāna-kośa-daṇḍa-sādhana-santāna-putra-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⟨16⟩</w:t>
      </w:r>
      <w:r>
        <w:rPr>
          <w:rStyle w:val="ColorGray"/>
        </w:rPr>
        <w:t xml:space="preserve"> </w:t>
      </w:r>
      <w:r>
        <w:t xml:space="preserve">paut</w:t>
      </w:r>
      <w:r>
        <w:rPr>
          <w:rStyle w:val="ColorRed"/>
        </w:rPr>
        <w:t xml:space="preserve">¿r̥?</w:t>
      </w:r>
      <w:r>
        <w:rPr>
          <w:rStyle w:val="ColorGreen"/>
        </w:rPr>
        <w:t xml:space="preserve">⟨ri⟩</w:t>
      </w:r>
      <w:r>
        <w:t xml:space="preserve">ṇaḥ yudhiṣṭhira-vr̥tte</w:t>
      </w:r>
      <w:r>
        <w:rPr>
          <w:rStyle w:val="ColorRed"/>
        </w:rPr>
        <w:t xml:space="preserve">¿vvi?</w:t>
      </w:r>
      <w:r>
        <w:rPr>
          <w:rStyle w:val="ColorGreen"/>
        </w:rPr>
        <w:t xml:space="preserve">⟨r vvā⟩</w:t>
      </w:r>
      <w:r>
        <w:t xml:space="preserve">kāṭakānām mahā</w:t>
      </w:r>
      <w:r>
        <w:rPr>
          <w:rStyle w:val="ColorGray"/>
        </w:rPr>
        <w:t xml:space="preserve">⟨17⟩</w:t>
      </w:r>
      <w:r>
        <w:t xml:space="preserve">rāja-śr[ī]-_pr̥thiv</w:t>
      </w:r>
      <w:r>
        <w:rPr>
          <w:rStyle w:val="ColorRed"/>
        </w:rPr>
        <w:t xml:space="preserve">¿i?</w:t>
      </w:r>
      <w:r>
        <w:t xml:space="preserve">ṣeṇasya sūno⟨ḥ⟩_ bhagavata</w:t>
      </w:r>
      <w:r>
        <w:rPr>
          <w:rStyle w:val="ColorGray"/>
        </w:rPr>
        <w:t xml:space="preserve">⟨18⟩</w:t>
      </w:r>
      <w:r>
        <w:t xml:space="preserve">ś cakrapāṇe⟨ḥ⟩ prasādopārjjita-śr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2v⟩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⟨19⟩</w:t>
      </w:r>
      <w:r>
        <w:rPr>
          <w:rStyle w:val="ColorGray"/>
        </w:rPr>
        <w:t xml:space="preserve"> </w:t>
      </w:r>
      <w:r>
        <w:t xml:space="preserve">samudayasya _ vākāṭakānām mahārāja-śr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-rudra</w:t>
      </w:r>
      <w:r>
        <w:rPr>
          <w:rStyle w:val="ColorGray"/>
        </w:rPr>
        <w:t xml:space="preserve">⟨20⟩</w:t>
      </w:r>
      <w:r>
        <w:t xml:space="preserve">senasya sūnoḥ pūrvva-rājānuvr̥tta-mā⟨r⟩ggā</w:t>
      </w:r>
      <w:r>
        <w:rPr>
          <w:rStyle w:val="ColorRed"/>
        </w:rPr>
        <w:t xml:space="preserve">¿ṇ?</w:t>
      </w:r>
      <w:r>
        <w:rPr>
          <w:rStyle w:val="ColorGreen"/>
        </w:rPr>
        <w:t xml:space="preserve">⟨n⟩</w:t>
      </w:r>
      <w:r>
        <w:t xml:space="preserve">usā</w:t>
      </w:r>
      <w:r>
        <w:rPr>
          <w:rStyle w:val="ColorGray"/>
        </w:rPr>
        <w:t xml:space="preserve">⟨21⟩</w:t>
      </w:r>
      <w:r>
        <w:t xml:space="preserve">riṇaḥ sunaya-bala-parākramo</w:t>
      </w:r>
      <w:r>
        <w:rPr>
          <w:rStyle w:val="ColorRed"/>
        </w:rPr>
        <w:t xml:space="preserve">¿m?</w:t>
      </w:r>
      <w:r>
        <w:rPr>
          <w:rStyle w:val="ColorGreen"/>
        </w:rPr>
        <w:t xml:space="preserve">⟨c⟩</w:t>
      </w:r>
      <w:r>
        <w:t xml:space="preserve">chi</w:t>
      </w:r>
      <w:r>
        <w:rPr>
          <w:rStyle w:val="ColorRed"/>
        </w:rPr>
        <w:t xml:space="preserve">¿ṇṇ?</w:t>
      </w:r>
      <w:r>
        <w:rPr>
          <w:rStyle w:val="ColorGreen"/>
        </w:rPr>
        <w:t xml:space="preserve">⟨nn⟩</w:t>
      </w:r>
      <w:r>
        <w:t xml:space="preserve">a-sarvva-dvi</w:t>
      </w:r>
      <w:r>
        <w:rPr>
          <w:rStyle w:val="ColorGray"/>
        </w:rPr>
        <w:t xml:space="preserve">⟨22⟩</w:t>
      </w:r>
      <w:r>
        <w:t xml:space="preserve">ṣaḥ mahārājādhirāja-śr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-devagupta-sutāyā</w:t>
      </w:r>
      <w:r>
        <w:rPr>
          <w:rStyle w:val="ColorGray"/>
        </w:rPr>
        <w:t xml:space="preserve">⟨23⟩</w:t>
      </w:r>
      <w:r>
        <w:t xml:space="preserve">m prabhā◯vat</w:t>
      </w:r>
      <w:r>
        <w:rPr>
          <w:rStyle w:val="ColorRed"/>
        </w:rPr>
        <w:t xml:space="preserve">¿i?</w:t>
      </w:r>
      <w:r>
        <w:t xml:space="preserve">guptāyām utpa</w:t>
      </w:r>
      <w:r>
        <w:rPr>
          <w:rStyle w:val="ColorRed"/>
        </w:rPr>
        <w:t xml:space="preserve">¿ṇṇ?</w:t>
      </w:r>
      <w:r>
        <w:rPr>
          <w:rStyle w:val="ColorGreen"/>
        </w:rPr>
        <w:t xml:space="preserve">⟨nn⟩</w:t>
      </w:r>
      <w:r>
        <w:t xml:space="preserve">asya vākāṭa</w:t>
      </w:r>
      <w:r>
        <w:rPr>
          <w:rStyle w:val="ColorGray"/>
        </w:rPr>
        <w:t xml:space="preserve">⟨24⟩</w:t>
      </w:r>
      <w:r>
        <w:t xml:space="preserve">ka va</w:t>
      </w:r>
      <w:r>
        <w:rPr>
          <w:rStyle w:val="ColorRed"/>
        </w:rPr>
        <w:t xml:space="preserve">¿ṅ?</w:t>
      </w:r>
      <w:r>
        <w:t xml:space="preserve">śālaṅkāra-bhūtasya śambhoḥ prasādāddh</w:t>
      </w:r>
      <w:r>
        <w:rPr>
          <w:rStyle w:val="ColorRed"/>
        </w:rPr>
        <w:t xml:space="preserve">¿ra?</w:t>
      </w:r>
      <w:r>
        <w:rPr>
          <w:rStyle w:val="ColorGreen"/>
        </w:rPr>
        <w:t xml:space="preserve">⟨r̥⟩</w:t>
      </w:r>
      <w:r>
        <w:rPr>
          <w:rStyle w:val="ColorGray"/>
        </w:rPr>
        <w:t xml:space="preserve">⟨25⟩</w:t>
      </w:r>
      <w:r>
        <w:t xml:space="preserve">ta-kārtta-yugasya{|} vākāṭakānām mahārāj{j}a-śr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⟨ī⟩</w:t>
      </w:r>
      <w:r>
        <w:t xml:space="preserve">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⟨26⟩</w:t>
      </w:r>
      <w:r>
        <w:rPr>
          <w:rStyle w:val="ColorGray"/>
        </w:rPr>
        <w:t xml:space="preserve"> </w:t>
      </w:r>
      <w:r>
        <w:t xml:space="preserve">pravarasenasya sūnoḥ pūrvvādhigata-guṇa-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⟨27⟩</w:t>
      </w:r>
      <w:r>
        <w:rPr>
          <w:rStyle w:val="ColorGray"/>
        </w:rPr>
        <w:t xml:space="preserve"> </w:t>
      </w:r>
      <w:r>
        <w:t xml:space="preserve">(vi?)(śv)ā(y)āM _ dapahr̥ta-va</w:t>
      </w:r>
      <w:r>
        <w:rPr>
          <w:rStyle w:val="ColorRed"/>
        </w:rPr>
        <w:t xml:space="preserve">¿ṅ?</w:t>
      </w:r>
      <w:r>
        <w:t xml:space="preserve">śa-śr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⟨i⟩</w:t>
      </w:r>
      <w:r>
        <w:t xml:space="preserve">yaḥ kosalā-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⟨Page 3r⟩</w:t>
      </w:r>
      <w:r>
        <w:rPr>
          <w:rStyle w:val="ColorGray"/>
        </w:rPr>
        <w:t xml:space="preserve"> 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⟨28⟩</w:t>
      </w:r>
      <w:r>
        <w:rPr>
          <w:rStyle w:val="ColorGray"/>
        </w:rPr>
        <w:t xml:space="preserve"> </w:t>
      </w:r>
      <w:r>
        <w:t xml:space="preserve">maikalā-mālavādhipati⟨bhi⟩r abhyarcc[i]ta-śāsanasya pra</w:t>
      </w:r>
      <w:r>
        <w:rPr>
          <w:rStyle w:val="ColorGray"/>
        </w:rPr>
        <w:t xml:space="preserve">⟨29⟩</w:t>
      </w:r>
      <w:r>
        <w:t xml:space="preserve">tāpa-pra</w:t>
      </w:r>
      <w:r>
        <w:rPr>
          <w:rStyle w:val="ColorRed"/>
        </w:rPr>
        <w:t xml:space="preserve">¿lā?</w:t>
      </w:r>
      <w:r>
        <w:rPr>
          <w:rStyle w:val="ColorGreen"/>
        </w:rPr>
        <w:t xml:space="preserve">⟨ṇa⟩</w:t>
      </w:r>
      <w:r>
        <w:t xml:space="preserve">tāri⟨śā⟩sanasya _ vākāṭakānām mahā</w:t>
      </w:r>
      <w:r>
        <w:rPr>
          <w:rStyle w:val="ColorGray"/>
        </w:rPr>
        <w:t xml:space="preserve">⟨30⟩</w:t>
      </w:r>
      <w:r>
        <w:t xml:space="preserve">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-narendrasenasya sūnoẖ kuntalādhipati-</w:t>
      </w:r>
      <w:r>
        <w:rPr>
          <w:rStyle w:val="ColorGray"/>
        </w:rPr>
        <w:t xml:space="preserve"> </w:t>
      </w:r>
      <w:r>
        <w:rPr>
          <w:rStyle w:val="ColorGray"/>
        </w:rPr>
        <w:t xml:space="preserve">⟨31⟩</w:t>
      </w:r>
      <w:r>
        <w:rPr>
          <w:rStyle w:val="ColorGray"/>
        </w:rPr>
        <w:t xml:space="preserve"> </w:t>
      </w:r>
      <w:r>
        <w:t xml:space="preserve">sutāyā⟨ṁ⟩ mahādevyām ajjhitabhaṭṭārikāyām u</w:t>
      </w:r>
      <w:r>
        <w:rPr>
          <w:rStyle w:val="ColorGray"/>
        </w:rPr>
        <w:t xml:space="preserve">⟨32⟩</w:t>
      </w:r>
      <w:r>
        <w:t xml:space="preserve">tpa</w:t>
      </w:r>
      <w:r>
        <w:rPr>
          <w:rStyle w:val="ColorRed"/>
        </w:rPr>
        <w:t xml:space="preserve">¿ṇṇ?</w:t>
      </w:r>
      <w:r>
        <w:rPr>
          <w:rStyle w:val="ColorGreen"/>
        </w:rPr>
        <w:t xml:space="preserve">⟨nn⟩</w:t>
      </w:r>
      <w:r>
        <w:t xml:space="preserve">a◯sya _ t</w:t>
      </w:r>
      <w:r>
        <w:rPr>
          <w:rStyle w:val="ColorRed"/>
        </w:rPr>
        <w:t xml:space="preserve">¿a?</w:t>
      </w:r>
      <w:r>
        <w:rPr>
          <w:rStyle w:val="ColorGreen"/>
        </w:rPr>
        <w:t xml:space="preserve">⟨e⟩</w:t>
      </w:r>
      <w:r>
        <w:t xml:space="preserve">jaḥ-kṣamā-sa</w:t>
      </w:r>
      <w:r>
        <w:rPr>
          <w:rStyle w:val="ColorRed"/>
        </w:rPr>
        <w:t xml:space="preserve">¿ṇṇ?</w:t>
      </w:r>
      <w:r>
        <w:rPr>
          <w:rStyle w:val="ColorGreen"/>
        </w:rPr>
        <w:t xml:space="preserve">⟨nn⟩</w:t>
      </w:r>
      <w:r>
        <w:t xml:space="preserve">idhāna-bh</w:t>
      </w:r>
      <w:r>
        <w:rPr>
          <w:rStyle w:val="ColorRed"/>
        </w:rPr>
        <w:t xml:space="preserve">¿u?</w:t>
      </w:r>
      <w:r>
        <w:rPr>
          <w:rStyle w:val="ColorGreen"/>
        </w:rPr>
        <w:t xml:space="preserve">⟨bhū⟩</w:t>
      </w:r>
      <w:r>
        <w:t xml:space="preserve">ta</w:t>
      </w:r>
      <w:r>
        <w:rPr>
          <w:rStyle w:val="ColorGray"/>
        </w:rPr>
        <w:t xml:space="preserve">⟨33⟩</w:t>
      </w:r>
      <w:r>
        <w:t xml:space="preserve">sya{|}</w:t>
      </w:r>
      <w:r>
        <w:t xml:space="preserve"> </w:t>
      </w:r>
      <w:r>
        <w:rPr>
          <w:rStyle w:val="ColorRed"/>
        </w:rPr>
        <w:t xml:space="preserve">¿dvi?</w:t>
      </w:r>
      <w:r>
        <w:t xml:space="preserve">magna-va</w:t>
      </w:r>
      <w:r>
        <w:rPr>
          <w:rStyle w:val="ColorRed"/>
        </w:rPr>
        <w:t xml:space="preserve">¿ṅ?</w:t>
      </w:r>
      <w:r>
        <w:t xml:space="preserve">śasyoddharttuḥ vākāṭakānā</w:t>
      </w:r>
      <w:r>
        <w:rPr>
          <w:rStyle w:val="ColorGray"/>
        </w:rPr>
        <w:t xml:space="preserve">⟨34⟩</w:t>
      </w:r>
      <w:r>
        <w:t xml:space="preserve">m parama-bhāgavata-mahārāja-śr</w:t>
      </w:r>
      <w:r>
        <w:rPr>
          <w:rStyle w:val="ColorRed"/>
        </w:rPr>
        <w:t xml:space="preserve">¿i?</w:t>
      </w:r>
      <w:r>
        <w:rPr>
          <w:rStyle w:val="ColorGreen"/>
        </w:rPr>
        <w:t xml:space="preserve">⟨ī⟩</w:t>
      </w:r>
      <w:r>
        <w:t xml:space="preserve">-pr̥thiv</w:t>
      </w:r>
      <w:r>
        <w:rPr>
          <w:rStyle w:val="ColorRed"/>
        </w:rPr>
        <w:t xml:space="preserve">¿i?</w:t>
      </w:r>
      <w:r>
        <w:t xml:space="preserve">ṣe</w:t>
      </w:r>
      <w:r>
        <w:rPr>
          <w:rStyle w:val="ColorGray"/>
        </w:rPr>
        <w:t xml:space="preserve">⟨35⟩</w:t>
      </w:r>
      <w:r>
        <w:t xml:space="preserve">ṇasya vacanā(T) Asmat-sa(n)takā⟨ḥ⟩ sarvvāddhyakṣa</w:t>
      </w:r>
    </w:p>
    <w:p>
      <w:pPr>
        <w:pStyle w:val="Heading1"/>
      </w:pPr>
      <w:r>
        <w:t xml:space="preserve">Bibliography</w:t>
      </w:r>
    </w:p>
    <w:p>
      <w:pPr>
        <w:pStyle w:val="FirstParagraph"/>
      </w:pPr>
      <w:r>
        <w:t xml:space="preserve">First reported and edited in</w:t>
      </w:r>
      <w:r>
        <w:t xml:space="preserve"> </w:t>
      </w:r>
      <w:hyperlink r:id="rId9">
        <w:r>
          <w:rPr>
            <w:rStyle w:val="Hyperlink"/>
          </w:rPr>
          <w:t xml:space="preserve">Kielhorn 1907–1908</w:t>
        </w:r>
      </w:hyperlink>
      <w:r>
        <w:t xml:space="preserve">. Re-edited in Mirashi 1963. Correction proposed in</w:t>
      </w:r>
      <w:r>
        <w:t xml:space="preserve"> </w:t>
      </w:r>
      <w:hyperlink r:id="rId10">
        <w:r>
          <w:rPr>
            <w:rStyle w:val="Hyperlink"/>
          </w:rPr>
          <w:t xml:space="preserve">Shastri [1989] 1975–1976</w:t>
        </w:r>
      </w:hyperlink>
      <w:r>
        <w:t xml:space="preserve">, pp. 169–180:172-173. Discussed in</w:t>
      </w:r>
      <w:r>
        <w:t xml:space="preserve"> </w:t>
      </w:r>
      <w:hyperlink r:id="rId11">
        <w:r>
          <w:rPr>
            <w:rStyle w:val="Hyperlink"/>
          </w:rPr>
          <w:t xml:space="preserve">Shastri 1997</w:t>
        </w:r>
      </w:hyperlink>
      <w:r>
        <w:t xml:space="preserve">, p. 37 and 70-77.</w:t>
      </w:r>
    </w:p>
    <w:p>
      <w:pPr>
        <w:pStyle w:val="BodyText"/>
      </w:pPr>
      <w:r>
        <w:t xml:space="preserve">Originally encoded for Siddham in the project Beyond Boundaries (Grant Agreement No. 609823) by Dániel Balogh (</w:t>
      </w:r>
      <w:hyperlink r:id="rId12">
        <w:r>
          <w:rPr>
            <w:rStyle w:val="Hyperlink"/>
          </w:rPr>
          <w:t xml:space="preserve">2019</w:t>
        </w:r>
      </w:hyperlink>
      <w:r>
        <w:t xml:space="preserve">, № IN00175). Encoding updated to DHARMA conventions by Dániel Balogh.</w:t>
      </w:r>
    </w:p>
    <w:p>
      <w:pPr>
        <w:pStyle w:val="Heading2"/>
      </w:pPr>
      <w:r>
        <w:t xml:space="preserve">Secondary</w:t>
      </w:r>
    </w:p>
    <w:p>
      <w:pPr>
        <w:pStyle w:val="FirstParagraph"/>
      </w:pPr>
      <w:r>
        <w:t xml:space="preserve">Bhandarkar, Devadatta Ramakrishna. 1927–1936.</w:t>
      </w:r>
      <w:r>
        <w:t xml:space="preserve"> </w:t>
      </w:r>
      <w:r>
        <w:rPr>
          <w:i/>
          <w:iCs/>
        </w:rPr>
        <w:t xml:space="preserve">A list of the inscriptions of northern India in Brahmi and its derivative scripts, from about 200 A. C.: Appendix to Epigraphia Indica and record of the Archaeological Survey of India, volumes XIX to XXIII</w:t>
      </w:r>
      <w:r>
        <w:t xml:space="preserve">. Calcutta: Archaeological Survey of India.</w:t>
      </w:r>
      <w:r>
        <w:t xml:space="preserve"> </w:t>
      </w:r>
      <w:hyperlink r:id="rId13">
        <w:r>
          <w:rPr>
            <w:rStyle w:val="Hyperlink"/>
          </w:rPr>
          <w:t xml:space="preserve">[URL]</w:t>
        </w:r>
      </w:hyperlink>
      <w:r>
        <w:t xml:space="preserve">. Item 1708.</w:t>
      </w:r>
    </w:p>
    <w:p>
      <w:pPr>
        <w:pStyle w:val="BodyText"/>
      </w:pPr>
      <w:r>
        <w:t xml:space="preserve">Mirashi, Vasudev Vishnu. 1963.</w:t>
      </w:r>
      <w:r>
        <w:t xml:space="preserve"> </w:t>
      </w:r>
      <w:r>
        <w:rPr>
          <w:i/>
          <w:iCs/>
        </w:rPr>
        <w:t xml:space="preserve">Inscriptions of the Vākāṭakas</w:t>
      </w:r>
      <w:r>
        <w:t xml:space="preserve">. Corpus Inscriptionum Indicarum 5. Ootacamund: Archaeological Survey of India. Item 18.</w:t>
      </w:r>
    </w:p>
    <w:sectPr>
      <w:footnotePr>
        <w:numFmt w:val="decimal"/>
        <w:numRestart w:val="eachSect"/>
      </w:footnotePr>
      <w:type w:val="nextPage"/>
      <w:pgSz w:h="15840" w:w="12240"/>
      <w:pgMar w:bottom="1440" w:footer="0" w:gutter="0" w:header="0" w:left="1440" w:right="1440" w:top="1440"/>
      <w:pgNumType w:fmt="decimal"/>
      <w:formProt w:val="false"/>
      <w:textDirection w:val="lrTb"/>
      <w:docGrid w:charSpace="0" w:linePitch="100" w:type="default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Aptos">
    <w:charset w:val="01"/>
    <w:family w:val="auto"/>
    <w:pitch w:val="default"/>
  </w:font>
  <w:font w:name="Gentium">
    <w:charset w:val="01"/>
    <w:family w:val="auto"/>
    <w:pitch w:val="default"/>
  </w:font>
  <w:font w:name="Aptos Display">
    <w:charset w:val="01"/>
    <w:family w:val="auto"/>
    <w:pitch w:val="default"/>
  </w:font>
  <w:font w:name="Consolas">
    <w:charset w:val="01"/>
    <w:family w:val="auto"/>
    <w:pitch w:val="default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1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2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3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4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5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6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7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  <w:lvl w:ilvl="8">
      <w:start w:val="1"/>
      <w:numFmt w:val="none"/>
      <w:suff w:val="nothing"/>
      <w:lvlText w:val=""/>
      <w:lvlJc w:val="left"/>
      <w:pPr>
        <w:tabs>
          <w:tab w:pos="0" w:val="num"/>
        </w:tabs>
        <w:ind w:hanging="0" w:left="0"/>
      </w:pPr>
    </w:lvl>
  </w:abstractNum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">
    <w:abstractNumId w:val="1"/>
  </w:num>
  <w:num w:numId="2">
    <w:abstractNumId w:val="2"/>
  </w: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75"/>
  <w:embedSystemFonts/>
  <w:proofState w:grammar="clean" w:spelling="clean"/>
  <w:stylePaneFormatFilter w:val="0004"/>
  <w:doNotTrackMoves/>
  <w:defaultTabStop w:val="720"/>
  <w:autoHyphenation w:val="true"/>
  <w:hyphenationZone w:val="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compatSetting w:name="compatibilityMode" w:uri="http://schemas.microsoft.com/office/word" w:val="12"/>
  </w:compat>
  <w:rsids>
  </w:rsids>
  <w:themeFontLang w:bidi="" w:eastAsia="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Aptos" w:asciiTheme="minorHAnsi" w:cs="" w:cstheme="minorBidi" w:eastAsia="Aptos" w:eastAsiaTheme="minorHAnsi" w:hAnsi="Aptos" w:hAnsiTheme="minorHAnsi"/>
        <w:sz w:val="24"/>
        <w:szCs w:val="24"/>
        <w:lang w:bidi="ar-SA" w:eastAsia="en-US" w:val="en-US"/>
      </w:rPr>
    </w:rPrDefault>
    <w:pPrDefault>
      <w:pPr>
        <w:suppressAutoHyphens w:val="true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widowControl/>
      <w:suppressAutoHyphens w:val="true"/>
      <w:bidi w:val="0"/>
      <w:spacing w:after="200" w:before="0" w:line="276" w:lineRule="auto"/>
      <w:jc w:val="left"/>
    </w:pPr>
    <w:rPr>
      <w:rFonts w:ascii="Gentium" w:cs="" w:cstheme="minorBidi" w:eastAsia="Aptos" w:eastAsiaTheme="minorHAnsi" w:hAnsi="Gentium"/>
      <w:color w:val="auto"/>
      <w:kern w:val="0"/>
      <w:sz w:val="24"/>
      <w:szCs w:val="24"/>
      <w:lang w:bidi="ar-SA" w:eastAsia="en-US" w:val="en-US"/>
    </w:rPr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 w:val="true"/>
      <w:keepLines/>
      <w:spacing w:after="80" w:before="360" w:line="240" w:lineRule="auto"/>
      <w:outlineLvl w:val="0"/>
    </w:pPr>
    <w:rPr>
      <w:rFonts w:ascii="Gentium" w:cs="" w:cstheme="majorBidi" w:eastAsia="" w:eastAsiaTheme="majorEastAsia" w:hAnsi="Gentium"/>
      <w:color w:val="auto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 w:val="true"/>
      <w:keepLines/>
      <w:spacing w:after="80" w:before="160"/>
      <w:outlineLvl w:val="1"/>
    </w:pPr>
    <w:rPr>
      <w:rFonts w:ascii="Gentium" w:cs="" w:cstheme="majorBidi" w:eastAsia="" w:eastAsiaTheme="majorEastAsia" w:hAnsi="Gentium"/>
      <w:color w:val="000000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 w:val="true"/>
      <w:keepLines/>
      <w:spacing w:after="80" w:before="160"/>
      <w:outlineLvl w:val="2"/>
    </w:pPr>
    <w:rPr>
      <w:rFonts w:ascii="Gentium" w:cs="" w:cstheme="majorBidi" w:eastAsia="" w:eastAsiaTheme="majorEastAsia" w:hAnsi="Gentium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 w:val="true"/>
      <w:keepLines/>
      <w:spacing w:after="40" w:before="80"/>
      <w:outlineLvl w:val="3"/>
    </w:pPr>
    <w:rPr>
      <w:rFonts w:ascii="Gentium" w:cs="" w:cstheme="majorBidi" w:eastAsia="" w:eastAsiaTheme="majorEastAsia" w:hAnsi="Gentium"/>
      <w:i/>
      <w:iCs/>
      <w:color w:val="000000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 w:val="true"/>
      <w:keepLines/>
      <w:spacing w:after="40" w:before="80"/>
      <w:outlineLvl w:val="4"/>
    </w:pPr>
    <w:rPr>
      <w:rFonts w:ascii="Gentium" w:cs="" w:cstheme="majorBidi" w:eastAsia="" w:eastAsiaTheme="majorEastAsia" w:hAnsi="Gentium"/>
      <w:color w:val="000000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 w:val="true"/>
      <w:keepLines/>
      <w:spacing w:after="0" w:before="40"/>
      <w:outlineLvl w:val="5"/>
    </w:pPr>
    <w:rPr>
      <w:rFonts w:ascii="Gentium" w:cs="" w:cstheme="majorBidi" w:eastAsia="" w:eastAsiaTheme="majorEastAsia" w:hAnsi="Gentium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 w:val="true"/>
      <w:keepLines/>
      <w:spacing w:after="0" w:before="40"/>
      <w:outlineLvl w:val="6"/>
    </w:pPr>
    <w:rPr>
      <w:rFonts w:ascii="Gentium" w:cs="" w:cstheme="majorBidi" w:eastAsia="" w:eastAsiaTheme="majorEastAsia" w:hAnsi="Gentium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 w:val="true"/>
      <w:keepLines/>
      <w:spacing w:after="0" w:before="0"/>
      <w:outlineLvl w:val="7"/>
    </w:pPr>
    <w:rPr>
      <w:rFonts w:ascii="Gentium" w:cs="" w:cstheme="majorBidi" w:eastAsia="" w:eastAsiaTheme="majorEastAsia" w:hAnsi="Gentium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 w:val="true"/>
      <w:keepLines/>
      <w:spacing w:after="0" w:before="0"/>
      <w:outlineLvl w:val="8"/>
    </w:pPr>
    <w:rPr>
      <w:rFonts w:ascii="Gentium" w:cs="" w:cstheme="majorBidi" w:eastAsia="" w:eastAsiaTheme="majorEastAsia" w:hAnsi="Gentium"/>
      <w:color w:themeColor="text1" w:themeTint="d8" w:val="272727"/>
    </w:rPr>
  </w:style>
  <w:style w:customStyle="1" w:styleId="TitleChar" w:type="character">
    <w:name w:val="Title Char"/>
    <w:basedOn w:val="DefaultParagraphFont"/>
    <w:link w:val="Title"/>
    <w:uiPriority w:val="10"/>
    <w:qFormat/>
    <w:rsid w:val="00a10fd9"/>
    <w:rPr>
      <w:rFonts w:ascii="Aptos Display" w:asciiTheme="majorHAnsi" w:cs="" w:cstheme="majorBidi" w:eastAsia="" w:eastAsiaTheme="majorEastAsia" w:hAnsi="Aptos Display" w:hAnsiTheme="majorHAnsi"/>
      <w:sz w:val="56"/>
      <w:szCs w:val="56"/>
    </w:rPr>
  </w:style>
  <w:style w:customStyle="1" w:styleId="SubtitleChar" w:type="character">
    <w:name w:val="Subtitle Char"/>
    <w:basedOn w:val="DefaultParagraphFont"/>
    <w:link w:val="Subtitle"/>
    <w:uiPriority w:val="11"/>
    <w:qFormat/>
    <w:rsid w:val="00a10fd9"/>
    <w:rPr>
      <w:rFonts w:cs="" w:cstheme="majorBidi" w:eastAsia="" w:eastAsiaTheme="majorEastAsia"/>
      <w:color w:themeColor="text1" w:themeTint="a6" w:val="595959"/>
      <w:spacing w:val="15"/>
      <w:sz w:val="28"/>
      <w:szCs w:val="28"/>
    </w:rPr>
  </w:style>
  <w:style w:customStyle="1" w:styleId="Heading1Char" w:type="character">
    <w:name w:val="Heading 1 Char"/>
    <w:basedOn w:val="DefaultParagraphFont"/>
    <w:link w:val="Heading1"/>
    <w:uiPriority w:val="9"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qFormat/>
    <w:rsid w:val="00a10fd9"/>
    <w:rPr>
      <w:rFonts w:ascii="Aptos Display" w:asciiTheme="majorHAnsi" w:cs="" w:cstheme="majorBidi" w:eastAsia="" w:eastAsiaTheme="majorEastAsia" w:hAnsi="Aptos Display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qFormat/>
    <w:rsid w:val="00a10fd9"/>
    <w:rPr>
      <w:rFonts w:cs="" w:cstheme="majorBidi" w:eastAsia="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qFormat/>
    <w:rsid w:val="00a10fd9"/>
    <w:rPr>
      <w:rFonts w:cs="" w:cstheme="majorBidi" w:eastAsia="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qFormat/>
    <w:rsid w:val="00a10fd9"/>
    <w:rPr>
      <w:rFonts w:cs="" w:cstheme="majorBidi" w:eastAsia="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qFormat/>
    <w:rsid w:val="00a10fd9"/>
    <w:rPr>
      <w:rFonts w:cs="" w:cstheme="majorBidi" w:eastAsia="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qFormat/>
    <w:rsid w:val="00a10fd9"/>
    <w:rPr>
      <w:rFonts w:cs="" w:cstheme="majorBidi" w:eastAsia="" w:eastAsiaTheme="majorEastAsia"/>
      <w:color w:themeColor="text1" w:themeTint="d8" w:val="272727"/>
    </w:rPr>
  </w:style>
  <w:style w:default="1" w:styleId="DefaultParagraphFont" w:type="character">
    <w:name w:val="Default Paragraph Font"/>
    <w:semiHidden/>
    <w:unhideWhenUsed/>
    <w:qFormat/>
    <w:rPr/>
  </w:style>
  <w:style w:customStyle="1" w:styleId="BodyTextChar" w:type="character">
    <w:name w:val="Body Text Char"/>
    <w:basedOn w:val="DefaultParagraphFont"/>
    <w:qFormat/>
    <w:rPr/>
  </w:style>
  <w:style w:customStyle="1" w:styleId="VerbatimChar" w:type="character">
    <w:name w:val="Verbatim Char"/>
    <w:basedOn w:val="BodyTextChar"/>
    <w:qFormat/>
    <w:rPr>
      <w:rFonts w:ascii="Consolas" w:hAnsi="Consolas"/>
      <w:sz w:val="22"/>
    </w:rPr>
  </w:style>
  <w:style w:customStyle="1" w:styleId="SectionNumber" w:type="character">
    <w:name w:val="Section Number"/>
    <w:basedOn w:val="BodyTextChar"/>
    <w:qFormat/>
    <w:rPr/>
  </w:style>
  <w:style w:styleId="FootnoteCharactersuser" w:type="character">
    <w:name w:val="Footnote Characters (user)"/>
    <w:qFormat/>
    <w:rPr>
      <w:vertAlign w:val="superscript"/>
    </w:rPr>
  </w:style>
  <w:style w:styleId="FootnoteCharacters" w:type="character">
    <w:name w:val="Footnote Characters"/>
    <w:qFormat/>
    <w:rPr>
      <w:vertAlign w:val="superscript"/>
    </w:rPr>
  </w:style>
  <w:style w:styleId="FootnoteReference" w:type="character">
    <w:name w:val="footnote reference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ColorGray" w:type="character">
    <w:name w:val="ColorGray"/>
    <w:basedOn w:val="BodyTextChar"/>
    <w:qFormat/>
    <w:rPr>
      <w:color w:val="666666"/>
    </w:rPr>
  </w:style>
  <w:style w:styleId="ColorGreen" w:type="character">
    <w:name w:val="ColorGreen"/>
    <w:basedOn w:val="DefaultParagraphFont"/>
    <w:qFormat/>
    <w:rPr>
      <w:color w:val="069A2E"/>
    </w:rPr>
  </w:style>
  <w:style w:styleId="ColorBrown" w:type="character">
    <w:name w:val="ColorBrown"/>
    <w:basedOn w:val="ColorGreen"/>
    <w:qFormat/>
    <w:rPr>
      <w:color w:val="784B04"/>
    </w:rPr>
  </w:style>
  <w:style w:styleId="CaptionCharactersuser" w:type="character">
    <w:name w:val="Caption Characters (user)"/>
    <w:qFormat/>
    <w:rPr/>
  </w:style>
  <w:style w:styleId="ColorRed" w:type="character">
    <w:name w:val="ColorRed"/>
    <w:basedOn w:val="CaptionCharactersuser"/>
    <w:qFormat/>
    <w:rPr>
      <w:color w:val="C9211E"/>
    </w:rPr>
  </w:style>
  <w:style w:styleId="ColorMagenta" w:type="character">
    <w:name w:val="ColorMagenta"/>
    <w:basedOn w:val="ColorBrown"/>
    <w:qFormat/>
    <w:rPr>
      <w:color w:val="800080"/>
    </w:rPr>
  </w:style>
  <w:style w:styleId="ColorBlue" w:type="character">
    <w:name w:val="ColorBlue"/>
    <w:basedOn w:val="ColorGray"/>
    <w:qFormat/>
    <w:rPr>
      <w:color w:val="2A6099"/>
    </w:rPr>
  </w:style>
  <w:style w:styleId="ColorBlack" w:type="character">
    <w:name w:val="ColorBlack"/>
    <w:basedOn w:val="ColorBlue"/>
    <w:qFormat/>
    <w:rPr>
      <w:color w:val="000000"/>
    </w:rPr>
  </w:style>
  <w:style w:styleId="EndnoteCharacters" w:type="character">
    <w:name w:val="Endnote Characters"/>
    <w:qFormat/>
    <w:rPr>
      <w:vertAlign w:val="superscript"/>
    </w:rPr>
  </w:style>
  <w:style w:styleId="EndnoteCharactersuser" w:type="character">
    <w:name w:val="Endnote Characters (user)"/>
    <w:qFormat/>
    <w:rPr>
      <w:vertAlign w:val="superscript"/>
    </w:rPr>
  </w:style>
  <w:style w:styleId="EndnoteReference" w:type="character">
    <w:name w:val="endnote reference"/>
    <w:rPr>
      <w:vertAlign w:val="superscript"/>
    </w:rPr>
  </w:style>
  <w:style w:styleId="Heading" w:type="paragraph">
    <w:name w:val="Heading"/>
    <w:basedOn w:val="Normal"/>
    <w:next w:val="BodyText"/>
    <w:qFormat/>
    <w:pPr>
      <w:keepNext w:val="true"/>
      <w:spacing w:after="120" w:before="240"/>
    </w:pPr>
    <w:rPr>
      <w:rFonts w:ascii="Gentium" w:cs="Noto Sans Devanagari" w:eastAsia="Noto Sans CJK SC" w:hAnsi="Gentium"/>
      <w:sz w:val="28"/>
      <w:szCs w:val="28"/>
    </w:rPr>
  </w:style>
  <w:style w:styleId="BodyText" w:type="paragraph">
    <w:name w:val="Body Text"/>
    <w:basedOn w:val="Normal"/>
    <w:link w:val="BodyTextChar"/>
    <w:qFormat/>
    <w:pPr>
      <w:spacing w:after="180" w:before="180" w:line="276" w:lineRule="auto"/>
    </w:pPr>
    <w:rPr>
      <w:rFonts w:ascii="Gentium" w:hAnsi="Gentium"/>
    </w:rPr>
  </w:style>
  <w:style w:styleId="List" w:type="paragraph">
    <w:name w:val="List"/>
    <w:basedOn w:val="BodyText"/>
    <w:pPr/>
    <w:rPr>
      <w:rFonts w:ascii="Gentium" w:cs="Noto Sans Devanagari" w:hAnsi="Gentium"/>
    </w:rPr>
  </w:style>
  <w:style w:styleId="Caption" w:type="paragraph">
    <w:name w:val="caption"/>
    <w:basedOn w:val="Normal"/>
    <w:link w:val="BodyTextChar"/>
    <w:qFormat/>
    <w:pPr>
      <w:spacing w:after="120" w:before="0"/>
    </w:pPr>
    <w:rPr>
      <w:rFonts w:ascii="Gentium" w:hAnsi="Gentium"/>
      <w:i/>
    </w:rPr>
  </w:style>
  <w:style w:styleId="Index" w:type="paragraph">
    <w:name w:val="Index"/>
    <w:basedOn w:val="Normal"/>
    <w:qFormat/>
    <w:pPr>
      <w:suppressLineNumbers/>
    </w:pPr>
    <w:rPr>
      <w:rFonts w:ascii="Gentium" w:cs="Noto Sans Devanagari" w:hAnsi="Gentium"/>
    </w:rPr>
  </w:style>
  <w:style w:customStyle="1" w:styleId="FirstParagraph" w:type="paragraph">
    <w:name w:val="First Paragraph"/>
    <w:basedOn w:val="BodyText"/>
    <w:next w:val="BodyText"/>
    <w:qFormat/>
    <w:pPr>
      <w:spacing w:line="276" w:lineRule="auto"/>
    </w:pPr>
    <w:rPr>
      <w:rFonts w:ascii="Gentium" w:hAnsi="Gentium"/>
    </w:rPr>
  </w:style>
  <w:style w:customStyle="1" w:styleId="Compact" w:type="paragraph">
    <w:name w:val="Compact"/>
    <w:basedOn w:val="BodyText"/>
    <w:qFormat/>
    <w:pPr>
      <w:spacing w:after="36" w:before="36"/>
    </w:pPr>
    <w:rPr/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before="0" w:line="240" w:lineRule="auto"/>
      <w:contextualSpacing/>
      <w:jc w:val="center"/>
    </w:pPr>
    <w:rPr>
      <w:rFonts w:ascii="Gentium" w:cs="" w:cstheme="majorBidi" w:eastAsia="" w:eastAsiaTheme="majorEastAsia" w:hAnsi="Gentium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/>
    <w:rPr>
      <w:rFonts w:cs="" w:cstheme="majorBidi" w:eastAsia="" w:eastAsiaTheme="majorEastAsia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 w:val="true"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 w:val="true"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 w:val="true"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 w:val="true"/>
      <w:keepLines/>
      <w:spacing w:after="300" w:before="100"/>
    </w:pPr>
    <w:rPr>
      <w:rFonts w:ascii="Gentium" w:hAnsi="Gentium"/>
      <w:sz w:val="20"/>
      <w:szCs w:val="20"/>
    </w:rPr>
  </w:style>
  <w:style w:styleId="Bibliography" w:type="paragraph">
    <w:name w:val="Bibliography"/>
    <w:basedOn w:val="Normal"/>
    <w:qFormat/>
    <w:pPr/>
    <w:rPr/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hanging="0" w:left="480" w:right="480"/>
    </w:pPr>
    <w:rPr/>
  </w:style>
  <w:style w:styleId="FootnoteText" w:type="paragraph">
    <w:name w:val="footnote text"/>
    <w:basedOn w:val="Normal"/>
    <w:uiPriority w:val="9"/>
    <w:unhideWhenUsed/>
    <w:qFormat/>
    <w:pPr/>
    <w:rPr>
      <w:rFonts w:ascii="Gentium" w:hAnsi="Gentium"/>
    </w:rPr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hanging="0" w:left="480" w:right="480"/>
    </w:pPr>
    <w:rPr>
      <w:rFonts w:ascii="Gentium" w:hAnsi="Gentium"/>
    </w:rPr>
  </w:style>
  <w:style w:customStyle="1" w:styleId="DefinitionTerm" w:type="paragraph">
    <w:name w:val="Definition Term"/>
    <w:basedOn w:val="Normal"/>
    <w:next w:val="Definition"/>
    <w:qFormat/>
    <w:pPr>
      <w:keepNext w:val="true"/>
      <w:keepLines/>
      <w:spacing w:after="0" w:before="0"/>
    </w:pPr>
    <w:rPr>
      <w:rFonts w:ascii="Gentium" w:hAnsi="Gentium"/>
      <w:b/>
    </w:rPr>
  </w:style>
  <w:style w:customStyle="1" w:styleId="Definition" w:type="paragraph">
    <w:name w:val="Definition"/>
    <w:basedOn w:val="Normal"/>
    <w:qFormat/>
    <w:pPr>
      <w:ind w:left="475"/>
    </w:pPr>
    <w:rPr>
      <w:rFonts w:ascii="Gentium" w:hAnsi="Gentium"/>
    </w:rPr>
  </w:style>
  <w:style w:customStyle="1" w:styleId="TableCaption" w:type="paragraph">
    <w:name w:val="Table Caption"/>
    <w:basedOn w:val="Caption"/>
    <w:qFormat/>
    <w:pPr>
      <w:keepNext w:val="true"/>
    </w:pPr>
    <w:rPr/>
  </w:style>
  <w:style w:customStyle="1" w:styleId="ImageCaption" w:type="paragraph">
    <w:name w:val="Image Caption"/>
    <w:basedOn w:val="Caption"/>
    <w:qFormat/>
    <w:pPr/>
    <w:rPr/>
  </w:style>
  <w:style w:customStyle="1" w:styleId="Figure" w:type="paragraph">
    <w:name w:val="Figure"/>
    <w:basedOn w:val="Normal"/>
    <w:qFormat/>
    <w:pPr/>
    <w:rPr/>
  </w:style>
  <w:style w:customStyle="1" w:styleId="CaptionedFigure" w:type="paragraph">
    <w:name w:val="Captioned Figure"/>
    <w:basedOn w:val="Figure"/>
    <w:qFormat/>
    <w:pPr>
      <w:keepNext w:val="true"/>
    </w:pPr>
    <w:rPr/>
  </w:style>
  <w:style w:styleId="IndexHeading" w:type="paragraph">
    <w:name w:val="index heading"/>
    <w:basedOn w:val="Heading"/>
    <w:pPr/>
    <w:rPr/>
  </w:style>
  <w:style w:styleId="TOCHeading" w:type="paragraph">
    <w:name w:val="TOC Heading"/>
    <w:basedOn w:val="Heading1"/>
    <w:next w:val="BodyText"/>
    <w:uiPriority w:val="39"/>
    <w:unhideWhenUsed/>
    <w:qFormat/>
    <w:pPr>
      <w:spacing w:after="80" w:before="240" w:line="259" w:lineRule="auto"/>
      <w:outlineLvl w:val="9"/>
    </w:pPr>
    <w:rPr>
      <w:rFonts w:ascii="Aptos Display" w:asciiTheme="majorHAnsi" w:cs="" w:cstheme="majorBidi" w:eastAsia="" w:eastAsiaTheme="majorEastAsia" w:hAnsi="Aptos Display" w:hAnsiTheme="majorHAnsi"/>
      <w:b w:val="false"/>
      <w:bCs w:val="false"/>
      <w:color w:themeColor="accent1" w:themeShade="bf" w:val="365F91"/>
    </w:rPr>
  </w:style>
  <w:style w:styleId="Heading10" w:type="paragraph">
    <w:name w:val="Heading 10"/>
    <w:basedOn w:val="Heading"/>
    <w:next w:val="BodyText"/>
    <w:qFormat/>
    <w:pPr>
      <w:numPr>
        <w:ilvl w:val="8"/>
        <w:numId w:val="1"/>
      </w:numPr>
      <w:spacing w:after="60" w:before="60"/>
      <w:outlineLvl w:val="8"/>
    </w:pPr>
    <w:rPr>
      <w:b/>
      <w:bCs/>
      <w:sz w:val="18"/>
      <w:szCs w:val="18"/>
    </w:rPr>
  </w:style>
  <w:style w:styleId="BodyTextIndent" w:type="paragraph">
    <w:name w:val="Body Text Indent"/>
    <w:basedOn w:val="BodyText"/>
    <w:pPr>
      <w:ind w:hanging="0" w:left="283"/>
    </w:pPr>
    <w:rPr/>
  </w:style>
  <w:style w:styleId="BlockQuotationuser" w:type="paragraph">
    <w:name w:val="Block Quotation (user)"/>
    <w:basedOn w:val="Normal"/>
    <w:qFormat/>
    <w:pPr>
      <w:spacing w:after="283" w:before="0"/>
      <w:ind w:hanging="0" w:left="567" w:right="567"/>
    </w:pPr>
    <w:rPr>
      <w:rFonts w:ascii="Gentium" w:hAnsi="Gentium"/>
    </w:rPr>
  </w:style>
  <w:style w:default="1" w:styleId="Table" w:type="table">
    <w:name w:val="Table"/>
    <w:basedOn w:val="TableNormal"/>
    <w:semiHidden/>
    <w:unhideWhenUsed/>
    <w:qFormat/>
    <w:tblPr>
      <w:tblCellMar>
        <w:top w:type="dxa" w:w="0"/>
        <w:left w:type="dxa" w:w="108"/>
        <w:bottom w:type="dxa" w:w="0"/>
        <w:right w:type="dxa" w:w="108"/>
      </w:tblCellMar>
    </w:tblPr>
    <w:tblStylePr w:type="firstRow">
      <w:tblPr/>
      <w:tcPr>
        <w:tcBorders>
          <w:bottom w:val="single"/>
        </w:tcBorders>
        <w:vAlign w:val="bottom"/>
      </w:tcPr>
    </w:tblStyle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9" Target="https://dharmalekha.info/bibliography/entry/Kielhorn1907-1908_01" TargetMode="External" /><Relationship Type="http://schemas.openxmlformats.org/officeDocument/2006/relationships/hyperlink" Id="rId10" Target="https://dharmalekha.info/bibliography/entry/Shastri1975-1976_02" TargetMode="External" /><Relationship Type="http://schemas.openxmlformats.org/officeDocument/2006/relationships/hyperlink" Id="rId11" Target="https://dharmalekha.info/bibliography/entry/Shastri1997_01" TargetMode="External" /><Relationship Type="http://schemas.openxmlformats.org/officeDocument/2006/relationships/hyperlink" Id="rId13" Target="https://zenodo.org/records/3360216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https://dharmalekha.info/bibliography/entry/Balogh2019_03" TargetMode="External" /><Relationship Type="http://schemas.openxmlformats.org/officeDocument/2006/relationships/hyperlink" Id="rId9" Target="https://dharmalekha.info/bibliography/entry/Kielhorn1907-1908_01" TargetMode="External" /><Relationship Type="http://schemas.openxmlformats.org/officeDocument/2006/relationships/hyperlink" Id="rId10" Target="https://dharmalekha.info/bibliography/entry/Shastri1975-1976_02" TargetMode="External" /><Relationship Type="http://schemas.openxmlformats.org/officeDocument/2006/relationships/hyperlink" Id="rId11" Target="https://dharmalekha.info/bibliography/entry/Shastri1997_01" TargetMode="External" /><Relationship Type="http://schemas.openxmlformats.org/officeDocument/2006/relationships/hyperlink" Id="rId13" Target="https://zenodo.org/records/3360216" TargetMode="External" />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Office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45</TotalTime>
  <Application>LibreOffice/26.2.6.3$Linux_X86_64 LibreOffice_project/620$Build-3</Application>
  <AppVersion>15.0000</AppVersion>
  <Pages>2</Pages>
  <Words>60</Words>
  <Characters>366</Characters>
  <CharactersWithSpaces>396</CharactersWithSpaces>
  <Paragraphs>30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Balaghat Unfinished Charter of Pṛthivīṣeṇa II</dc:title>
  <dc:creator>Dániel Balogh</dc:creator>
  <cp:keywords/>
  <dcterms:created xsi:type="dcterms:W3CDTF">2026-10-26T22:04:15Z</dcterms:created>
  <dcterms:modified xsi:type="dcterms:W3CDTF">2026-10-26T22:04:15Z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