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Balaghat Charter Fragment of Pravarasena II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Alternative title: Patna Museum Plate of Pravarasena II</w:t>
      </w:r>
    </w:p>
    <w:p>
      <w:pPr>
        <w:pStyle w:val="BodyText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DHARMA_INSSiddham00172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XML-Provisional/DHARMA_INSSiddham00172.xml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⟨Page 3r⟩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prabhāvat</w:t>
      </w:r>
      <w:r>
        <w:rPr>
          <w:rStyle w:val="ColorRed"/>
        </w:rPr>
        <w:t xml:space="preserve">¿i?</w:t>
      </w:r>
      <w:r>
        <w:t xml:space="preserve">guptāyā</w:t>
      </w:r>
      <w:r>
        <w:rPr>
          <w:rStyle w:val="ColorRed"/>
        </w:rPr>
        <w:t xml:space="preserve">¿s?</w:t>
      </w:r>
      <w:r>
        <w:rPr>
          <w:rStyle w:val="ColorGreen"/>
        </w:rPr>
        <w:t xml:space="preserve">⟨ṁ⟩</w:t>
      </w:r>
      <w:r>
        <w:t xml:space="preserve"> </w:t>
      </w:r>
      <w:r>
        <w:t xml:space="preserve">samutpannasya śambho⟨ḥ⟩ prasāda-dhr̥t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⟨a⟩</w:t>
      </w:r>
      <w:r>
        <w:t xml:space="preserve">-śūl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yu</w:t>
      </w:r>
      <w:r>
        <w:rPr>
          <w:rStyle w:val="ColorGray"/>
        </w:rPr>
        <w:t xml:space="preserve">⟨2⟩</w:t>
      </w:r>
      <w:r>
        <w:t xml:space="preserve">dhasya vākāṭakānām mahārāja-śr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-pravarasenasya vacanā⟨t⟩ sundhāti-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mārgge ◯ brahmapurakasya pūrvvata⟨ḥ⟩ millukadrathasyāparata⟨ḥ⟩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madhukajjharyyā⟨ḥ⟩ cottarara⟨ḥ⟩ darbbhavirakasy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 </w:t>
      </w:r>
      <w:r>
        <w:t xml:space="preserve">dakṣiṇata⟨ḥ⟩ śrīparṇṇakā-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nām{n}a grāmaḥ⟨.⟩ tatra k</w:t>
      </w:r>
      <w:r>
        <w:rPr>
          <w:rStyle w:val="ColorRed"/>
        </w:rPr>
        <w:t xml:space="preserve">¿ū?</w:t>
      </w:r>
      <w:r>
        <w:rPr>
          <w:rStyle w:val="ColorGreen"/>
        </w:rPr>
        <w:t xml:space="preserve">⟨u⟩</w:t>
      </w:r>
      <w:r>
        <w:t xml:space="preserve">ṭumbino grāma-vāsinaś ca vaktavyā⟨ḥ⟩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3v⟩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yathāsmābhiḥ yaśapur</w:t>
      </w:r>
      <w:r>
        <w:rPr>
          <w:rStyle w:val="ColorRed"/>
        </w:rPr>
        <w:t xml:space="preserve">¿e?</w:t>
      </w:r>
      <w:r>
        <w:rPr>
          <w:rStyle w:val="ColorGreen"/>
        </w:rPr>
        <w:t xml:space="preserve">⟨a⟩</w:t>
      </w:r>
      <w:r>
        <w:t xml:space="preserve">-mārgge māṇāpallikāyāḫ pūrvva-parigra</w:t>
      </w:r>
      <w:r>
        <w:rPr>
          <w:rStyle w:val="ColorGray"/>
        </w:rPr>
        <w:t xml:space="preserve">⟨7⟩</w:t>
      </w:r>
      <w:r>
        <w:t xml:space="preserve">ha-prativastu mātr̥-bhaṭṭārikā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⟨ṇ⟩</w:t>
      </w:r>
      <w:r>
        <w:t xml:space="preserve">āṁ puṇyopacaye Aihikāmuṣmi⟨ka-hitārtthaṁ⟩</w:t>
      </w:r>
      <w:r>
        <w:rPr>
          <w:rStyle w:val="ColorGray"/>
        </w:rPr>
        <w:t xml:space="preserve">⟨8⟩</w:t>
      </w:r>
      <w:r>
        <w:t xml:space="preserve">bhāradvā◯ja-sagotra-vedāryya-putra-gaṅgāryya-kauṇḍi</w:t>
      </w:r>
      <w:r>
        <w:rPr>
          <w:rStyle w:val="ColorRed"/>
        </w:rPr>
        <w:t xml:space="preserve">¿ṇ?</w:t>
      </w:r>
      <w:r>
        <w:rPr>
          <w:rStyle w:val="ColorGreen"/>
        </w:rPr>
        <w:t xml:space="preserve">⟨n⟩</w:t>
      </w:r>
      <w:r>
        <w:t xml:space="preserve">ya-sago</w:t>
      </w:r>
      <w:r>
        <w:rPr>
          <w:rStyle w:val="ColorGray"/>
        </w:rPr>
        <w:t xml:space="preserve">⟨9⟩</w:t>
      </w:r>
      <w:r>
        <w:t xml:space="preserve">tra-vasurāryya{sya}-kauṇḍi</w:t>
      </w:r>
      <w:r>
        <w:rPr>
          <w:rStyle w:val="ColorRed"/>
        </w:rPr>
        <w:t xml:space="preserve">¿ṇ?</w:t>
      </w:r>
      <w:r>
        <w:rPr>
          <w:rStyle w:val="ColorGreen"/>
        </w:rPr>
        <w:t xml:space="preserve">⟨n⟩</w:t>
      </w:r>
      <w:r>
        <w:t xml:space="preserve">ya-taitti</w:t>
      </w:r>
      <w:r>
        <w:rPr>
          <w:rStyle w:val="ColorRed"/>
        </w:rPr>
        <w:t xml:space="preserve">¿rika?</w:t>
      </w:r>
      <w:r>
        <w:rPr>
          <w:rStyle w:val="ColorGreen"/>
        </w:rPr>
        <w:t xml:space="preserve">⟨rīya⟩</w:t>
      </w:r>
      <w:r>
        <w:t xml:space="preserve">-rudrāryyāṇ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ṁ sa-sīmānta-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paricchedena sapañcāśa⟨t⟩ko grāmo dat⟨t⟩aḥ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reported and edited (without facsimile) in</w:t>
      </w:r>
      <w:r>
        <w:t xml:space="preserve"> </w:t>
      </w:r>
      <w:hyperlink r:id="rId9">
        <w:r>
          <w:rPr>
            <w:rStyle w:val="Hyperlink"/>
          </w:rPr>
          <w:t xml:space="preserve">Altekar 1928</w:t>
        </w:r>
      </w:hyperlink>
      <w:r>
        <w:t xml:space="preserve">. Discussed, with identification of localities, in</w:t>
      </w:r>
      <w:r>
        <w:t xml:space="preserve"> </w:t>
      </w:r>
      <w:hyperlink r:id="rId10">
        <w:r>
          <w:rPr>
            <w:rStyle w:val="Hyperlink"/>
          </w:rPr>
          <w:t xml:space="preserve">Mirashi 1936</w:t>
        </w:r>
      </w:hyperlink>
      <w:r>
        <w:t xml:space="preserve">, pp. 48–50. Re-edited in Mirashi 1963.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1">
        <w:r>
          <w:rPr>
            <w:rStyle w:val="Hyperlink"/>
          </w:rPr>
          <w:t xml:space="preserve">2019</w:t>
        </w:r>
      </w:hyperlink>
      <w:r>
        <w:t xml:space="preserve">, № IN00172). Encoding updated to DHARMA conventions by Dániel Balogh.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Bhandarkar, Devadatta Ramakrishna. 1927–1936.</w:t>
      </w:r>
      <w:r>
        <w:t xml:space="preserve"> </w:t>
      </w:r>
      <w:r>
        <w:rPr>
          <w:i/>
          <w:iCs/>
        </w:rPr>
        <w:t xml:space="preserve">A list of the inscriptions of northern India in Brahmi and its derivative scripts, from about 200 A. C.: Appendix to Epigraphia Indica and record of the Archaeological Survey of India, volumes XIX to XXIII</w:t>
      </w:r>
      <w:r>
        <w:t xml:space="preserve">. Calcutta: Archaeological Survey of India.</w:t>
      </w:r>
      <w:r>
        <w:t xml:space="preserve"> </w:t>
      </w:r>
      <w:hyperlink r:id="rId12">
        <w:r>
          <w:rPr>
            <w:rStyle w:val="Hyperlink"/>
          </w:rPr>
          <w:t xml:space="preserve">[URL]</w:t>
        </w:r>
      </w:hyperlink>
      <w:r>
        <w:t xml:space="preserve">. Item 2095.</w:t>
      </w:r>
    </w:p>
    <w:p>
      <w:pPr>
        <w:pStyle w:val="BodyText"/>
      </w:pPr>
      <w:r>
        <w:t xml:space="preserve">Mirashi, Vasudev Vishnu. 1963.</w:t>
      </w:r>
      <w:r>
        <w:t xml:space="preserve"> </w:t>
      </w:r>
      <w:r>
        <w:rPr>
          <w:i/>
          <w:iCs/>
        </w:rPr>
        <w:t xml:space="preserve">Inscriptions of the Vākāṭakas</w:t>
      </w:r>
      <w:r>
        <w:t xml:space="preserve">. Corpus Inscriptionum Indicarum 5. Ootacamund: Archaeological Survey of India. Item 15.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bibliography/entry/Altekar1928_01" TargetMode="External" /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10" Target="https://dharmalekha.info/bibliography/entry/Mirashi1936_01" TargetMode="External" /><Relationship Type="http://schemas.openxmlformats.org/officeDocument/2006/relationships/hyperlink" Id="rId12" Target="https://zenodo.org/records/33602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bibliography/entry/Altekar1928_01" TargetMode="External" /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10" Target="https://dharmalekha.info/bibliography/entry/Mirashi1936_01" TargetMode="External" /><Relationship Type="http://schemas.openxmlformats.org/officeDocument/2006/relationships/hyperlink" Id="rId12" Target="https://zenodo.org/records/3360216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Balaghat Charter Fragment of Pravarasena II</dc:title>
  <dc:creator>Dániel Balogh</dc:creator>
  <cp:keywords/>
  <dcterms:created xsi:type="dcterms:W3CDTF">2026-10-26T22:04:16Z</dcterms:created>
  <dcterms:modified xsi:type="dcterms:W3CDTF">2026-10-26T22:04:16Z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