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Gopika</w:t>
      </w:r>
      <w:r>
        <w:t xml:space="preserve"> </w:t>
      </w:r>
      <w:r>
        <w:t xml:space="preserve">Cave</w:t>
      </w:r>
      <w:r>
        <w:t xml:space="preserve"> </w:t>
      </w:r>
      <w:r>
        <w:t xml:space="preserve">Inscription</w:t>
      </w:r>
      <w:r>
        <w:t xml:space="preserve"> </w:t>
      </w:r>
      <w:r>
        <w:t xml:space="preserve">of</w:t>
      </w:r>
      <w:r>
        <w:t xml:space="preserve"> </w:t>
      </w:r>
      <w:r>
        <w:t xml:space="preserve">Anantavarman</w:t>
      </w:r>
    </w:p>
    <w:p>
      <w:pPr>
        <w:pStyle w:val="Author"/>
      </w:pPr>
      <w:r>
        <w:t xml:space="preserve">Dániel</w:t>
      </w:r>
      <w:r>
        <w:t xml:space="preserve"> </w:t>
      </w:r>
      <w:r>
        <w:t xml:space="preserve">Balogh</w:t>
      </w:r>
    </w:p>
    <w:p>
      <w:pPr>
        <w:pStyle w:val="FirstParagraph"/>
      </w:pPr>
      <w:r>
        <w:t xml:space="preserve">Identifier: DHARMA_INSSiddham00154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*</w:t>
      </w:r>
    </w:p>
    <w:p>
      <w:pPr>
        <w:pStyle w:val="BodyText"/>
      </w:pPr>
      <w:r>
        <w:t xml:space="preserve">1.</w:t>
      </w:r>
      <w:r>
        <w:t xml:space="preserve"> </w:t>
      </w:r>
      <w:hyperlink r:id="rId20">
        <w:r>
          <w:rPr>
            <w:rStyle w:val="Hyperlink"/>
          </w:rPr>
          <w:t xml:space="preserve">Śārdūlavikrīḍita</w:t>
        </w:r>
      </w:hyperlink>
    </w:p>
    <w:p>
      <w:pPr>
        <w:pStyle w:val="BodyText"/>
      </w:pP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Unnidrasya saroruhasya sakalām ākṣipya śobhāṁ rucā|</w:t>
      </w:r>
      <w:r>
        <w:br/>
      </w:r>
      <w:r>
        <w:t xml:space="preserve">sāvajñaṁ mahiṣāsurasya śirasi nyastaḥ kvaṇan-nūpuraḥ</w:t>
      </w:r>
      <w:r>
        <w:br/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devyā vaḥ sthira-bhakti-vāda-sadr̥śīṁ yuñjan phalenārthitāṁ|</w:t>
      </w:r>
      <w:r>
        <w:br/>
      </w:r>
      <w:r>
        <w:t xml:space="preserve">diśyād accha-nakhā</w:t>
      </w:r>
      <w:r>
        <w:rPr>
          <w:rStyle w:val="ColorRed"/>
        </w:rPr>
        <w:t xml:space="preserve">¿ṅ?</w:t>
      </w:r>
      <w:r>
        <w:t xml:space="preserve">śu-jāla-jaṭilaḥ pādaḥ padaṁ saṁpadāṁ||</w:t>
      </w:r>
    </w:p>
    <w:p>
      <w:pPr>
        <w:pStyle w:val="BodyText"/>
      </w:pPr>
      <w:r>
        <w:t xml:space="preserve">2.</w:t>
      </w:r>
      <w:r>
        <w:t xml:space="preserve"> </w:t>
      </w:r>
      <w:hyperlink r:id="rId20">
        <w:r>
          <w:rPr>
            <w:rStyle w:val="Hyperlink"/>
          </w:rPr>
          <w:t xml:space="preserve">Śārdūlavikrīḍita</w:t>
        </w:r>
      </w:hyperlink>
    </w:p>
    <w:p>
      <w:pPr>
        <w:pStyle w:val="BodyText"/>
      </w:pP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Āsīd iṣṭa-samr̥ddha-yajña-mahimā śrī-yajñavarmmā nr̥paḥ|</w:t>
      </w:r>
      <w:r>
        <w:br/>
      </w:r>
      <w:r>
        <w:t xml:space="preserve">prakhyāt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⟨o⟩</w:t>
      </w:r>
      <w:r>
        <w:t xml:space="preserve"> </w:t>
      </w:r>
      <w:r>
        <w:t xml:space="preserve">vimalendu-nirmmala-yaśā⟨ḥ⟩ kṣāttrasya dhāmnaḥ padaṁ|</w:t>
      </w:r>
      <w:r>
        <w:br/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prajñānānvaya-dāna-vikkrama-guṇair yo rājakasyāgraṇī⟨ḥ⟩|</w:t>
      </w:r>
      <w:r>
        <w:br/>
      </w:r>
      <w:r>
        <w:t xml:space="preserve">bhūtvāpi prakr̥ti-stha Eva vinayād akṣobhya-sa</w:t>
      </w:r>
      <w:r>
        <w:rPr>
          <w:rStyle w:val="ColorRed"/>
        </w:rPr>
        <w:t xml:space="preserve">¿tv?</w:t>
      </w:r>
      <w:r>
        <w:t xml:space="preserve">odadhi⟨ḥ⟩||</w:t>
      </w:r>
    </w:p>
    <w:p>
      <w:pPr>
        <w:pStyle w:val="BodyText"/>
      </w:pPr>
      <w:r>
        <w:t xml:space="preserve">3.</w:t>
      </w:r>
      <w:r>
        <w:t xml:space="preserve"> </w:t>
      </w:r>
      <w:hyperlink r:id="rId20">
        <w:r>
          <w:rPr>
            <w:rStyle w:val="Hyperlink"/>
          </w:rPr>
          <w:t xml:space="preserve">Śārdūlavikrīḍita</w:t>
        </w:r>
      </w:hyperlink>
    </w:p>
    <w:p>
      <w:pPr>
        <w:pStyle w:val="BodyText"/>
      </w:pP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tasyodīrṇa-mahārṇavopama-raṇa-vyāpāra-lavdhaṁ yaśaḥ</w:t>
      </w:r>
      <w:r>
        <w:br/>
      </w:r>
      <w:r>
        <w:t xml:space="preserve">tanvānaḥ kakudaṁ mukheṣu kakubhāṁ kī</w:t>
      </w:r>
      <w:r>
        <w:rPr>
          <w:rStyle w:val="ColorRed"/>
        </w:rPr>
        <w:t xml:space="preserve">¿rt?</w:t>
      </w:r>
      <w:r>
        <w:t xml:space="preserve">yā jitedaṁ-yugaḥ</w:t>
      </w:r>
      <w:r>
        <w:br/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śrīmān vandhu-suhr̥j-jana-praṇayinām āśāḥ phalaiḥ pūraya(N)</w:t>
      </w:r>
      <w:r>
        <w:br/>
      </w:r>
      <w:r>
        <w:t xml:space="preserve">puttraḥ kalpa-taror ivāpta-mahimā{ṁ} śārdūlavarmmā nr̥paḥ||</w:t>
      </w:r>
    </w:p>
    <w:p>
      <w:pPr>
        <w:pStyle w:val="BodyText"/>
      </w:pPr>
      <w:r>
        <w:t xml:space="preserve">4.</w:t>
      </w:r>
      <w:r>
        <w:t xml:space="preserve"> </w:t>
      </w:r>
      <w:hyperlink r:id="rId20">
        <w:r>
          <w:rPr>
            <w:rStyle w:val="Hyperlink"/>
          </w:rPr>
          <w:t xml:space="preserve">Śārdūlavikrīḍita</w:t>
        </w:r>
      </w:hyperlink>
    </w:p>
    <w:p>
      <w:pPr>
        <w:pStyle w:val="BodyText"/>
      </w:pP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tasyānantam ananta-kīrtti-yaśaśo nantādi-varmmākhyayā|</w:t>
      </w:r>
      <w:r>
        <w:br/>
      </w:r>
      <w:r>
        <w:t xml:space="preserve">khyātenāhita-bhakti-bhāvita-dhiyā puttreṇa pūtātmanā</w:t>
      </w:r>
      <w:r>
        <w:br/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Ā-sūrya-kṣiti-candra-tārakam iyaṁ puṇyāspadaṁ vāñcchatā|</w:t>
      </w:r>
      <w:r>
        <w:br/>
      </w:r>
      <w:r>
        <w:t xml:space="preserve">vinyastādbhuta-vindhya-bhūdhara-guhām āśritya kātyāyanī||</w:t>
      </w:r>
    </w:p>
    <w:p>
      <w:pPr>
        <w:pStyle w:val="BodyText"/>
      </w:pPr>
      <w:r>
        <w:t xml:space="preserve">5.</w:t>
      </w:r>
      <w:r>
        <w:t xml:space="preserve"> </w:t>
      </w:r>
      <w:hyperlink r:id="rId20">
        <w:r>
          <w:rPr>
            <w:rStyle w:val="Hyperlink"/>
          </w:rPr>
          <w:t xml:space="preserve">Śārdūlavikrīḍita</w:t>
        </w:r>
      </w:hyperlink>
    </w:p>
    <w:p>
      <w:pPr>
        <w:pStyle w:val="BodyText"/>
      </w:pP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dhautā</w:t>
      </w:r>
      <w:r>
        <w:rPr>
          <w:rStyle w:val="ColorRed"/>
        </w:rPr>
        <w:t xml:space="preserve">¿ṅ?</w:t>
      </w:r>
      <w:r>
        <w:t xml:space="preserve">ho-mala-paṅka-doṣam amalair māhānadair amvubhiḥ</w:t>
      </w:r>
      <w:r>
        <w:br/>
      </w:r>
      <w:r>
        <w:t xml:space="preserve">vyādhūtopavana-priyaṅgu-bakulair āmoditaṁ vāyubhi(ḥ)</w:t>
      </w:r>
      <w:r>
        <w:br/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kalpāntāvadhi-bhogyam ucca-śikhari-cchāyāvr̥tārkka-dyutiṁ|</w:t>
      </w:r>
      <w:r>
        <w:br/>
      </w:r>
      <w:r>
        <w:t xml:space="preserve">⟦[––]⟧-grāmam analpa-bhoga-vibhavaṁ ramyaṁ bhavānyai dadau||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noticed (with an eye copy [next to p279] and a translation by Charles Wilkins [pp282-283]) in</w:t>
      </w:r>
      <w:r>
        <w:t xml:space="preserve"> </w:t>
      </w:r>
      <w:hyperlink r:id="rId21">
        <w:r>
          <w:rPr>
            <w:rStyle w:val="Hyperlink"/>
          </w:rPr>
          <w:t xml:space="preserve">Harrington 1788</w:t>
        </w:r>
      </w:hyperlink>
      <w:r>
        <w:t xml:space="preserve">. Published (with transcript and translation by Kamalākānta Vidyālankār, and an eye copy [Plate 34, next to p672]) in</w:t>
      </w:r>
      <w:r>
        <w:t xml:space="preserve"> </w:t>
      </w:r>
      <w:hyperlink r:id="rId22">
        <w:r>
          <w:rPr>
            <w:rStyle w:val="Hyperlink"/>
          </w:rPr>
          <w:t xml:space="preserve">Prinsep 1837</w:t>
        </w:r>
      </w:hyperlink>
      <w:r>
        <w:t xml:space="preserve">, pp. 672–674.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23">
        <w:r>
          <w:rPr>
            <w:rStyle w:val="Hyperlink"/>
          </w:rPr>
          <w:t xml:space="preserve">2019</w:t>
        </w:r>
      </w:hyperlink>
      <w:r>
        <w:t xml:space="preserve">, № IN00154). Encoding updated to DHARMA conventions by Dániel Balogh.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Fleet, John Faithfull. 1888.</w:t>
      </w:r>
      <w:r>
        <w:t xml:space="preserve"> </w:t>
      </w:r>
      <w:r>
        <w:rPr>
          <w:iCs/>
          <w:i/>
        </w:rPr>
        <w:t xml:space="preserve">Inscriptions of the early Gupta kings and their successors</w:t>
      </w:r>
      <w:r>
        <w:t xml:space="preserve">. First edition. Vol. 3. Corpus Inscriptionum Indicarum. Calcutta: Superintendent of Government Printing. Item 50.</w:t>
      </w:r>
    </w:p>
    <w:p>
      <w:pPr>
        <w:pStyle w:val="BodyText"/>
      </w:pPr>
      <w:r>
        <w:t xml:space="preserve">Bhandarkar, Devadatta Ramakrishna. 1927–1936.</w:t>
      </w:r>
      <w:r>
        <w:t xml:space="preserve"> </w:t>
      </w:r>
      <w:r>
        <w:rPr>
          <w:iCs/>
          <w:i/>
        </w:rPr>
        <w:t xml:space="preserve">A list of the inscriptions of northern India in Brahmi and its derivative scripts, from about 200 A. C.: Appendix to Epigraphia Indica and record of the Archaeological Survey of India, volumes XIX to XXIII</w:t>
      </w:r>
      <w:r>
        <w:t xml:space="preserve">. Calcutta: Archaeological Survey of India.</w:t>
      </w:r>
      <w:r>
        <w:t xml:space="preserve"> </w:t>
      </w:r>
      <w:hyperlink r:id="rId24">
        <w:r>
          <w:rPr>
            <w:rStyle w:val="Hyperlink"/>
          </w:rPr>
          <w:t xml:space="preserve">[URL]</w:t>
        </w:r>
      </w:hyperlink>
      <w:r>
        <w:t xml:space="preserve">. Item 1605.</w:t>
      </w:r>
    </w:p>
    <w:p>
      <w:pPr>
        <w:pStyle w:val="BodyText"/>
      </w:pPr>
      <w:r>
        <w:t xml:space="preserve">Thaplyal, Kiran Kumar. 1985.</w:t>
      </w:r>
      <w:r>
        <w:t xml:space="preserve"> </w:t>
      </w:r>
      <w:r>
        <w:rPr>
          <w:iCs/>
          <w:i/>
        </w:rPr>
        <w:t xml:space="preserve">Inscriptions of the Maukharīs, Later Guptas, Puṣpabhūtis and Yaśovarman of Kanauj</w:t>
      </w:r>
      <w:r>
        <w:t xml:space="preserve">. New Delhi: Indian Council of Historical Research. Item I.A.3.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variable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doNotTrackMove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bidi="" w:eastAsia="" w:val="en-US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808080"/>
    </w:rPr>
  </w:style>
  <w:style w:styleId="ColorGreen" w:type="character">
    <w:name w:val="ColorGreen"/>
    <w:basedOn w:val="DefaultParagraphFont"/>
    <w:qFormat/>
    <w:rPr>
      <w:color w:val="00A933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FF0000"/>
    </w:rPr>
  </w:style>
  <w:style w:styleId="ColorMagenta" w:type="character">
    <w:name w:val="ColorMagenta"/>
    <w:basedOn w:val="ColorBrown"/>
    <w:qFormat/>
    <w:rPr>
      <w:color w:val="A7074B"/>
    </w:rPr>
  </w:style>
  <w:style w:styleId="ColorBlue" w:type="character">
    <w:name w:val="ColorBlue"/>
    <w:basedOn w:val="ColorGray"/>
    <w:qFormat/>
    <w:rPr>
      <w:color w:val="3465A4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/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/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/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s://dharmalekha.info/bibliography/entry/Balogh2019_03" TargetMode="External" /><Relationship Type="http://schemas.openxmlformats.org/officeDocument/2006/relationships/hyperlink" Id="rId21" Target="https://dharmalekha.info/bibliography/entry/Harrington1788_01" TargetMode="External" /><Relationship Type="http://schemas.openxmlformats.org/officeDocument/2006/relationships/hyperlink" Id="rId22" Target="https://dharmalekha.info/bibliography/entry/Prinsep1837_01" TargetMode="External" /><Relationship Type="http://schemas.openxmlformats.org/officeDocument/2006/relationships/hyperlink" Id="rId20" Target="https://dharmalekha.info/prosody#prosody-115" TargetMode="External" /><Relationship Type="http://schemas.openxmlformats.org/officeDocument/2006/relationships/hyperlink" Id="rId24" Target="https://zenodo.org/records/33602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s://dharmalekha.info/bibliography/entry/Balogh2019_03" TargetMode="External" /><Relationship Type="http://schemas.openxmlformats.org/officeDocument/2006/relationships/hyperlink" Id="rId21" Target="https://dharmalekha.info/bibliography/entry/Harrington1788_01" TargetMode="External" /><Relationship Type="http://schemas.openxmlformats.org/officeDocument/2006/relationships/hyperlink" Id="rId22" Target="https://dharmalekha.info/bibliography/entry/Prinsep1837_01" TargetMode="External" /><Relationship Type="http://schemas.openxmlformats.org/officeDocument/2006/relationships/hyperlink" Id="rId20" Target="https://dharmalekha.info/prosody#prosody-115" TargetMode="External" /><Relationship Type="http://schemas.openxmlformats.org/officeDocument/2006/relationships/hyperlink" Id="rId24" Target="https://zenodo.org/records/3360216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LibreOffice/26.2.6.3$Linux_X86_64 LibreOffice_project/620$Build-3</Application>
  <AppVersion>15.0000</AppVersion>
  <Pages>1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Gopika Cave Inscription of Anantavarman</dc:title>
  <dc:creator>Dániel Balogh</dc:creator>
  <cp:keywords/>
  <dcterms:created xsi:type="dcterms:W3CDTF">2026-09-29T20:23:17Z</dcterms:created>
  <dcterms:modified xsi:type="dcterms:W3CDTF">2026-09-29T20:23:17Z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