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Baigram Charter of the Time of Kumāragupta 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DHARMA_INSSiddham00061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XML-Provisional/DHARMA_INSSiddham00061.xml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pañcanagaryyā bhaṭṭāraka-pādānuddhyātaḥ kumārāmātya-kulavr̥ddhir etad-viṣayādhikaraṇañ ca</w:t>
      </w:r>
      <w:r>
        <w:rPr>
          <w:rStyle w:val="ColorGray"/>
        </w:rPr>
        <w:t xml:space="preserve">⟨2⟩</w:t>
      </w:r>
      <w:r>
        <w:t xml:space="preserve">vāyigrāmika-trivr̥t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-śrīgohālyoḥ brāhmaṇottarān samvyavahāri-pramukhān grāma-kuṭumbinaḥ kuśalam anu</w:t>
      </w:r>
      <w:r>
        <w:rPr>
          <w:rStyle w:val="ColorGray"/>
        </w:rPr>
        <w:t xml:space="preserve">⟨3⟩</w:t>
      </w:r>
      <w:r>
        <w:t xml:space="preserve">varṇya bodhayanti⟨.⟩</w:t>
      </w:r>
      <w:r>
        <w:t xml:space="preserve"> </w:t>
      </w:r>
      <w:r>
        <w:rPr>
          <w:rStyle w:val="ColorRed"/>
        </w:rPr>
        <w:t xml:space="preserve">¿vijñāpayator atraiva?</w:t>
      </w:r>
      <w:r>
        <w:rPr>
          <w:rStyle w:val="ColorGreen"/>
        </w:rPr>
        <w:t xml:space="preserve">⟨vijñāpayato ’traiva⟩</w:t>
      </w:r>
      <w:r>
        <w:t xml:space="preserve">-vāstavya-kuṭumbi-bhoyila-bhāskarāv⟨.⟩ āvayoḥ pitrā śivanandi</w:t>
      </w:r>
      <w:r>
        <w:rPr>
          <w:rStyle w:val="ColorGray"/>
        </w:rPr>
        <w:t xml:space="preserve">⟨4⟩</w:t>
      </w:r>
      <w:r>
        <w:t xml:space="preserve">nā kāritaka-bhagavato govindasvāminaḥ deva-kulas tad asāv alpa-vr̥ttikaḥ⟨.⟩ Iha viṣaye samudaya</w:t>
      </w:r>
      <w:r>
        <w:rPr>
          <w:rStyle w:val="ColorGray"/>
        </w:rPr>
        <w:t xml:space="preserve">⟨5⟩</w:t>
      </w:r>
      <w:r>
        <w:t xml:space="preserve">-bāhyādy-astamba-khila-kṣ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ttr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ṇām akiñcit-pratikarāṇāṁ śaśvad ācandrārkka-tāraka-bhojyānā</w:t>
      </w:r>
      <w:r>
        <w:rPr>
          <w:rStyle w:val="ColorRed"/>
        </w:rPr>
        <w:t xml:space="preserve">¿ṁm?</w:t>
      </w:r>
      <w:r>
        <w:t xml:space="preserve"> </w:t>
      </w:r>
      <w:r>
        <w:t xml:space="preserve">akṣaya-nīvyā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dvi-dīnārikkya-kulya-vāpa-vikkrayo nuvr̥ttas⟨.⟩ tad arhathāvayos sakāśāt ṣ</w:t>
      </w:r>
      <w:r>
        <w:rPr>
          <w:rStyle w:val="ColorRed"/>
        </w:rPr>
        <w:t xml:space="preserve">¿ī?</w:t>
      </w:r>
      <w:r>
        <w:rPr>
          <w:rStyle w:val="ColorGreen"/>
        </w:rPr>
        <w:t xml:space="preserve">⟨a⟩</w:t>
      </w:r>
      <w:r>
        <w:t xml:space="preserve">ḍ dīnārān aṣṭa ca rūpakān āyī</w:t>
      </w:r>
      <w:r>
        <w:rPr>
          <w:rStyle w:val="ColorGray"/>
        </w:rPr>
        <w:t xml:space="preserve">⟨7⟩</w:t>
      </w:r>
      <w:r>
        <w:t xml:space="preserve">kr̥tya bhagavato govindasvāmino deva-kule khaṇḍa-phuṭṭa-pratisaṁsk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ra-karaṇāya ⊔ gandha-dhūpa-dīpa</w:t>
      </w:r>
      <w:r>
        <w:rPr>
          <w:rStyle w:val="ColorGray"/>
        </w:rPr>
        <w:t xml:space="preserve">⟨8⟩</w:t>
      </w:r>
      <w:r>
        <w:t xml:space="preserve">-sumanasā⟨ṁ⟩ pravarttanāya ca trivr̥tāyām bhogilasya khila-kṣettra-kulya-vāpa-trayaṁ ⊔ śrīgohālyā</w:t>
      </w:r>
      <w:r>
        <w:rPr>
          <w:rStyle w:val="ColorRed"/>
        </w:rPr>
        <w:t xml:space="preserve">¿(ś)?</w:t>
      </w:r>
      <w:r>
        <w:rPr>
          <w:rStyle w:val="ColorGreen"/>
        </w:rPr>
        <w:t xml:space="preserve">⟨m⟩</w:t>
      </w:r>
      <w:r>
        <w:t xml:space="preserve"> </w:t>
      </w:r>
      <w:r>
        <w:t xml:space="preserve">api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tala-vāṭakār(t)tha⟨ṁ⟩ sthala-vāstuno droṇa-vāpa(m) ekaṁ _ bhāskarasyāpi sthala-vāstuno droṇa-vāpañ ca dātu</w:t>
      </w:r>
      <w:r>
        <w:rPr>
          <w:rStyle w:val="ColorGray"/>
        </w:rPr>
        <w:t xml:space="preserve">⟨10⟩</w:t>
      </w:r>
      <w:r>
        <w:t xml:space="preserve">m iti⟨.⟩_</w:t>
      </w:r>
    </w:p>
    <w:p>
      <w:pPr>
        <w:pStyle w:val="BodyText"/>
      </w:pPr>
      <w:r>
        <w:t xml:space="preserve">yato yuṣmān bodhayāma⟨ḥ⟩⟨.⟩_ pustapāla-durgādattārkkadāsayor avadhāraṇayā Avadhr̥ta</w:t>
      </w:r>
      <w:r>
        <w:rPr>
          <w:rStyle w:val="ColorGray"/>
        </w:rPr>
        <w:t xml:space="preserve">⟨11⟩</w:t>
      </w:r>
      <w:r>
        <w:t xml:space="preserve">m astīha viṣay(e) samudaya-bāhyādy-astamba-khila-kṣettrāṇā⟨ṁ⟩ śaśvad ācandrārkka-tāraka-bhojyānāṁ dvi-dī</w:t>
      </w:r>
      <w:r>
        <w:rPr>
          <w:rStyle w:val="ColorGray"/>
        </w:rPr>
        <w:t xml:space="preserve">⟨12⟩</w:t>
      </w:r>
      <w:r>
        <w:t xml:space="preserve">nārikya-kulya-vāpa-vikkrayo nuvr̥ttaḥ⟨.⟩ Evaṁ-vidhāpratikara-khila-kṣettra-vikkraye ca na kaścid rājārttha-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virodha Upacaya Eva bhaṭṭāraka-pādānāṁ dharmma-phala-ṣaḍ-bhāgāvāptiś ca⟨.⟩ tad dīyatām iti Etayoḥ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bhoyila-bhāskarayos sakā⟨śā⟩t ṣaḍ dīnārān aṣṭa ca rūpakān āyīkr̥tya bhagavato govindasvāmino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deva-kulasyārtthe bhoyilasya trivr̥tāyāṁ _ khila-kṣettra-kulya-vāpa-trayaṁ tala-vāṭakādy-artthaM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śrīgohālyā⟨ṁ⟩ sthala-vāstuno droṇa-vāpaṁ bhāskarasyāpy atr</w:t>
      </w:r>
      <w:r>
        <w:rPr>
          <w:rStyle w:val="ColorRed"/>
        </w:rPr>
        <w:t xml:space="preserve">¿ī?</w:t>
      </w:r>
      <w:r>
        <w:rPr>
          <w:rStyle w:val="ColorGreen"/>
        </w:rPr>
        <w:t xml:space="preserve">⟨ai⟩</w:t>
      </w:r>
      <w:r>
        <w:t xml:space="preserve">va sthal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⟨a⟩</w:t>
      </w:r>
      <w:r>
        <w:t xml:space="preserve">-v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stuno droṇa-vāpa</w:t>
      </w:r>
      <w:r>
        <w:rPr>
          <w:rStyle w:val="ColorGray"/>
        </w:rPr>
        <w:t xml:space="preserve">⟨17⟩</w:t>
      </w:r>
      <w:r>
        <w:t xml:space="preserve">m</w:t>
      </w:r>
    </w:p>
    <w:p>
      <w:pPr>
        <w:pStyle w:val="BodyText"/>
      </w:pPr>
      <w:r>
        <w:t xml:space="preserve">eva⟨ṁ⟩ kulya-vāpa-trayaṁ sthala-droṇa-vāpa-dvayañ ca _ Akṣaya-</w:t>
      </w:r>
      <w:r>
        <w:rPr>
          <w:rStyle w:val="ColorRed"/>
        </w:rPr>
        <w:t xml:space="preserve">¿nīvyās?</w:t>
      </w:r>
      <w:r>
        <w:rPr>
          <w:rStyle w:val="ColorGreen"/>
        </w:rPr>
        <w:t xml:space="preserve">⟨nīvyā⟩</w:t>
      </w:r>
      <w:r>
        <w:t xml:space="preserve"> </w:t>
      </w:r>
      <w:r>
        <w:t xml:space="preserve">tāmra-paṭṭena dattaM⟨.⟩ ninna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ku 3 sthala-dro 2</w:t>
      </w:r>
    </w:p>
    <w:p>
      <w:pPr>
        <w:pStyle w:val="BodyText"/>
      </w:pPr>
      <w:r>
        <w:t xml:space="preserve">te yūyaṁ sva-karṣaṇāvirodhi-sthāne darvvīkarmma-hastenāṣṭaka-navaka-naḷābhyā</w:t>
      </w:r>
      <w:r>
        <w:rPr>
          <w:rStyle w:val="ColorGray"/>
        </w:rPr>
        <w:t xml:space="preserve">⟨19⟩</w:t>
      </w:r>
      <w:r>
        <w:t xml:space="preserve">m apaviñcchya ⊔ cira-kāla-sthāyi-tuṣāṅgār-ādinā cihnaiś cāturddiśo niyamya dāsyathākṣaya</w:t>
      </w:r>
      <w:r>
        <w:rPr>
          <w:rStyle w:val="ColorGray"/>
        </w:rPr>
        <w:t xml:space="preserve">⟨20⟩</w:t>
      </w:r>
      <w:r>
        <w:t xml:space="preserve">-nīvī-dharmme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 ca śaśvat-kālam anupālayiṣyatha varttamāna-bhaviṣyaiś ca saṁvyavahāryy-ādibhir eta</w:t>
      </w:r>
      <w:r>
        <w:rPr>
          <w:rStyle w:val="ColorGray"/>
        </w:rPr>
        <w:t xml:space="preserve">⟨21⟩</w:t>
      </w:r>
      <w:r>
        <w:t xml:space="preserve">d dharmmāpekṣayānupālayitavyam iti⟨.⟩ _ Uktañ ca bhagava⟨tā⟩ veda-vyāsa-mahātmanā⟨.⟩_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sva-dattāṁ para-dattāṁ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v{v}ā</w:t>
      </w:r>
      <w:r>
        <w:br/>
      </w:r>
      <w:r>
        <w:t xml:space="preserve">yo hareta vasundharāṁ(|)</w:t>
      </w:r>
      <w:r>
        <w:br/>
      </w:r>
      <w:r>
        <w:t xml:space="preserve">sa viṣṭhāyāṁ k</w:t>
      </w:r>
      <w:r>
        <w:rPr>
          <w:rStyle w:val="ColorRed"/>
        </w:rPr>
        <w:t xml:space="preserve">¿ri?</w:t>
      </w:r>
      <w:r>
        <w:t xml:space="preserve">mir bhūtvā</w:t>
      </w:r>
      <w:r>
        <w:br/>
      </w:r>
      <w:r>
        <w:t xml:space="preserve">pitr̥bhis saha pacyate_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ṣaṣṭiṁ varṣa-saha</w:t>
      </w:r>
      <w:r>
        <w:rPr>
          <w:rStyle w:val="ColorGray"/>
        </w:rPr>
        <w:t xml:space="preserve">⟨23⟩</w:t>
      </w:r>
      <w:r>
        <w:t xml:space="preserve">srāṇi</w:t>
      </w:r>
      <w:r>
        <w:br/>
      </w:r>
      <w:r>
        <w:t xml:space="preserve">svargge modati bhūmidaḥ_</w:t>
      </w:r>
      <w:r>
        <w:br/>
      </w:r>
      <w:r>
        <w:t xml:space="preserve">Ākṣeptā cānumantā ca</w:t>
      </w:r>
      <w:r>
        <w:br/>
      </w:r>
      <w:r>
        <w:t xml:space="preserve">tāny eva narake vaseT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pūrvva</w:t>
      </w:r>
      <w:r>
        <w:rPr>
          <w:rStyle w:val="ColorGray"/>
        </w:rPr>
        <w:t xml:space="preserve">⟨24⟩</w:t>
      </w:r>
      <w:r>
        <w:t xml:space="preserve">-dattāṁ dvijātibhy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br/>
      </w:r>
      <w:r>
        <w:t xml:space="preserve">yatnād rakṣa yudhiṣṭhira_</w:t>
      </w:r>
      <w:r>
        <w:br/>
      </w:r>
      <w:r>
        <w:t xml:space="preserve">mahī⟨ṁ⟩ mah</w:t>
      </w:r>
      <w:r>
        <w:rPr>
          <w:rStyle w:val="ColorRed"/>
        </w:rPr>
        <w:t xml:space="preserve">¿i?</w:t>
      </w:r>
      <w:r>
        <w:t xml:space="preserve">matāṁ śreṣṭha</w:t>
      </w:r>
      <w:r>
        <w:br/>
      </w:r>
      <w:r>
        <w:t xml:space="preserve">dānāc chreyo nupāla</w:t>
      </w:r>
      <w:r>
        <w:rPr>
          <w:rStyle w:val="ColorGray"/>
        </w:rPr>
        <w:t xml:space="preserve">⟨25⟩</w:t>
      </w:r>
      <w:r>
        <w:t xml:space="preserve">nam</w:t>
      </w:r>
    </w:p>
    <w:p>
      <w:pPr>
        <w:pStyle w:val="BodyText"/>
      </w:pPr>
      <w:r>
        <w:t xml:space="preserve">iti⟨.⟩ saṁ 100 20 8 māgha di 10 9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</w:t>
      </w:r>
      <w:r>
        <w:t xml:space="preserve"> </w:t>
      </w:r>
      <w:hyperlink r:id="rId10">
        <w:r>
          <w:rPr>
            <w:rStyle w:val="Hyperlink"/>
          </w:rPr>
          <w:t xml:space="preserve">Basak 1931–1932</w:t>
        </w:r>
      </w:hyperlink>
      <w:r>
        <w:t xml:space="preserve">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IN00061).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Bhandarkar, Devadatta Ramakrishna. 1927–1936.</w:t>
      </w:r>
      <w:r>
        <w:t xml:space="preserve"> </w:t>
      </w:r>
      <w:r>
        <w:rPr>
          <w:i/>
          <w:iCs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12">
        <w:r>
          <w:rPr>
            <w:rStyle w:val="Hyperlink"/>
          </w:rPr>
          <w:t xml:space="preserve">[URL]</w:t>
        </w:r>
      </w:hyperlink>
      <w:r>
        <w:t xml:space="preserve">. Item 2114.</w:t>
      </w:r>
    </w:p>
    <w:p>
      <w:pPr>
        <w:pStyle w:val="BodyText"/>
      </w:pPr>
      <w:r>
        <w:t xml:space="preserve">Sircar, Dines Chandra. 1965.</w:t>
      </w:r>
      <w:r>
        <w:t xml:space="preserve"> </w:t>
      </w:r>
      <w:r>
        <w:rPr>
          <w:i/>
          <w:iCs/>
        </w:rPr>
        <w:t xml:space="preserve">Select inscriptions bearing on Indian history and civilization. Volume I: from the sixth century B.C. to the sixth century A.D.</w:t>
      </w:r>
      <w:r>
        <w:t xml:space="preserve"> </w:t>
      </w:r>
      <w:r>
        <w:t xml:space="preserve">2nd edition revised and enlarged. Calcutta: University of Calcutta. Book III, item 41.</w:t>
      </w:r>
    </w:p>
    <w:p>
      <w:pPr>
        <w:pStyle w:val="BodyText"/>
      </w:pPr>
      <w:r>
        <w:t xml:space="preserve">Agrawala, Prithvi Kumar. 1983.</w:t>
      </w:r>
      <w:r>
        <w:t xml:space="preserve"> </w:t>
      </w:r>
      <w:r>
        <w:rPr>
          <w:i/>
          <w:iCs/>
        </w:rPr>
        <w:t xml:space="preserve">Imperial Gupta Epigraphs (गुप्ताधिराजलेखमण्डल)</w:t>
      </w:r>
      <w:r>
        <w:t xml:space="preserve">. Ancient Indian Epigraphical Sources (प्रत्नाभिलेखसंहिता) 10, pt. 1 / 2. Varanasi: Books Asia, Distributed by Prithvi Prakashan. Item 29.</w:t>
      </w:r>
    </w:p>
    <w:p>
      <w:pPr>
        <w:pStyle w:val="BodyText"/>
      </w:pPr>
      <w:r>
        <w:t xml:space="preserve">Goyal, Śrīrām. 1993.</w:t>
      </w:r>
      <w:r>
        <w:t xml:space="preserve"> </w:t>
      </w:r>
      <w:r>
        <w:rPr>
          <w:i/>
          <w:iCs/>
        </w:rPr>
        <w:t xml:space="preserve">गुप्तकालीन अभिलेख/Guptakālīna Abhilekha (Inscriptions of the Gupta Age)</w:t>
      </w:r>
      <w:r>
        <w:t xml:space="preserve">. Jodhpur: Kusumanjali Prakashan. Items 183-188.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sak1931-1932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2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sak1931-1932_01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2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Baigram Charter of the Time of Kumāragupta I</dc:title>
  <dc:creator>Dániel Balogh</dc:creator>
  <cp:keywords/>
  <dcterms:created xsi:type="dcterms:W3CDTF">2026-10-26T21:59:02Z</dcterms:created>
  <dcterms:modified xsi:type="dcterms:W3CDTF">2026-10-26T21:59:02Z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