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Ganjam</w:t>
      </w:r>
      <w:r>
        <w:t xml:space="preserve"> </w:t>
      </w:r>
      <w:r>
        <w:t xml:space="preserve">Plates</w:t>
      </w:r>
      <w:r>
        <w:t xml:space="preserve"> </w:t>
      </w:r>
      <w:r>
        <w:t xml:space="preserve">of</w:t>
      </w:r>
      <w:r>
        <w:t xml:space="preserve"> </w:t>
      </w:r>
      <w:r>
        <w:t xml:space="preserve">Mādhavarāja,</w:t>
      </w:r>
      <w:r>
        <w:t xml:space="preserve"> </w:t>
      </w:r>
      <w:r>
        <w:t xml:space="preserve">Gupta</w:t>
      </w:r>
      <w:r>
        <w:t xml:space="preserve"> </w:t>
      </w:r>
      <w:r>
        <w:t xml:space="preserve">Samvat</w:t>
      </w:r>
      <w:r>
        <w:t xml:space="preserve"> </w:t>
      </w:r>
      <w:r>
        <w:t xml:space="preserve">300</w:t>
      </w:r>
    </w:p>
    <w:p>
      <w:pPr>
        <w:pStyle w:val="Author"/>
      </w:pPr>
      <w:r>
        <w:t xml:space="preserve">Arlo</w:t>
      </w:r>
      <w:r>
        <w:t xml:space="preserve"> </w:t>
      </w:r>
      <w:r>
        <w:t xml:space="preserve">Griffiths</w:t>
      </w:r>
    </w:p>
    <w:p>
      <w:pPr>
        <w:pStyle w:val="FirstParagraph"/>
      </w:pPr>
      <w:r>
        <w:t xml:space="preserve">Identifier: DHARMA_INSSailodbhava00001</w:t>
      </w:r>
    </w:p>
    <w:p>
      <w:pPr>
        <w:pStyle w:val="BodyText"/>
      </w:pPr>
      <w:r>
        <w:t xml:space="preserve">Repository: Śailodbhava (tfb-sailodbhava-epigraphy)</w:t>
      </w:r>
    </w:p>
    <w:p>
      <w:pPr>
        <w:pStyle w:val="BodyText"/>
      </w:pPr>
      <w:r>
        <w:t xml:space="preserve">Commit: 2026-09-30 01:57 (c040953), last modified 2026-09-30 01:57 (c040953)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⟨Page 1v⟩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[dextrorotatory spiral] svasti – caturudadhisalilavīcīmekhalānilīnāyāṁ sadvīpā-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garapattanavatyā vasundharāyāṁ gauptāvde varṣaśatattraye varttamāne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mahā◯rājādhirājāśśrīśaśāṅkarājye śāsati gagaṇatala-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vini◯sṛtabhagīrathāvatāritāyā himavadgirer apari-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patanānekaśilāsaṁhātavibhinnavahiḫpātālāttarjjalaughai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surasarita Iva vividhataruvarakusumasañchannobhayataṭā- Second plate, obverse.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ntavinipatitajalāśayāyāḥ ś(ā)limāsaritaḥ kulā(pa)kaṇṭhā-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d vejayakoṅgādāt mahārājamahāsāmantaśrīmādhavarājasya priyatanayo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mahārājā yaśobhītas tasyāpi priyasūnuḥ svaguṇa(ma)rīcinikara-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pravo◯dhitaśilodbhavakulakamalo vikośanīlotpala-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prati◯sparddhinīkhaḍgadhārāniśitaniśśeṣapratihataripu-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valo dīnānāthakṛpaṇavanīpakopabhujyamānavibhavaḥ svabhu-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japarighayugalopārjjitanṛpaśrī kamalavimalaruthara- Second plate, reverse.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tanur jaganmalamaṇḍanaśrutaśauryadhairyaguṇānvito mahāvṛṣabhaparyaṅka-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kakudhopadhānavinyastavāhor vvālacandrodyotitajaṭākalāpaikade-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śasya ◯ bhagavatas sthityutpattipralayasṛṣṭisaṅhārakāraṇasya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t xml:space="preserve">nṛbhuva◯naguroḫ pādabhaktaḥ paramavrahmaṇyo mahārājamāhāsā-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mantaśrīmādhavarājaḥ kuśalī kṛṣṇagiriviṣayasaṁvaddhacchavala-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⟨19⟩</w:t>
      </w:r>
      <w:r>
        <w:rPr>
          <w:rStyle w:val="ColorGray"/>
        </w:rPr>
        <w:t xml:space="preserve"> </w:t>
      </w:r>
      <w:r>
        <w:t xml:space="preserve">kkhayagrāme varttamānabhaviṣyakkumārāmātyoparikatadāyuktakān anyāś ca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t xml:space="preserve">yathārha pūjayati mānayati ca viditam astu bhavatām ayaṁ grāmo Third plate, obverse.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⟨21⟩</w:t>
      </w:r>
      <w:r>
        <w:rPr>
          <w:rStyle w:val="ColorGray"/>
        </w:rPr>
        <w:t xml:space="preserve"> </w:t>
      </w:r>
      <w:r>
        <w:t xml:space="preserve">smābhir arddheṇa mātāpittror ātmanaś ca puṇyābhivṛddhaye saliladhārāpura-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⟨22⟩</w:t>
      </w:r>
      <w:r>
        <w:rPr>
          <w:rStyle w:val="ColorGray"/>
        </w:rPr>
        <w:t xml:space="preserve"> </w:t>
      </w:r>
      <w:r>
        <w:t xml:space="preserve">ssareṇācandrārkkasamakālīnākṣayanīye bharadvājasagottrāyāṅgi-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⟨23⟩</w:t>
      </w:r>
      <w:r>
        <w:rPr>
          <w:rStyle w:val="ColorGray"/>
        </w:rPr>
        <w:t xml:space="preserve"> </w:t>
      </w:r>
      <w:r>
        <w:t xml:space="preserve">rasavārhaspatyapravāraya charampasvāmine sūryoparāge pratipādito ||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⟨24⟩</w:t>
      </w:r>
      <w:r>
        <w:rPr>
          <w:rStyle w:val="ColorGray"/>
        </w:rPr>
        <w:t xml:space="preserve"> </w:t>
      </w:r>
      <w:r>
        <w:t xml:space="preserve">Uktañ ca ◯ smṛtiśāstre , vahubhir vvasudhā dattā rājabhis sagarādibhiḥ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⟨25⟩</w:t>
      </w:r>
      <w:r>
        <w:rPr>
          <w:rStyle w:val="ColorGray"/>
        </w:rPr>
        <w:t xml:space="preserve"> </w:t>
      </w:r>
      <w:r>
        <w:t xml:space="preserve">yasya yasya yadā bhūmi tasya tasya tadā phalaṁ || ṣaṣṭiṁ varṣasahasrā-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⟨26⟩</w:t>
      </w:r>
      <w:r>
        <w:rPr>
          <w:rStyle w:val="ColorGray"/>
        </w:rPr>
        <w:t xml:space="preserve"> </w:t>
      </w:r>
      <w:r>
        <w:t xml:space="preserve">ṇi svargge modati bhūmidaḥ Ākṣeptā cānumantā ca tāny eva narake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⟨27⟩</w:t>
      </w:r>
      <w:r>
        <w:rPr>
          <w:rStyle w:val="ColorGray"/>
        </w:rPr>
        <w:t xml:space="preserve"> </w:t>
      </w:r>
      <w:r>
        <w:t xml:space="preserve">vase || svadattā paradattām vā , yo hareta vasundharā sa viṣṭhāyāṁ Third plate, reverse.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⟨28⟩</w:t>
      </w:r>
      <w:r>
        <w:rPr>
          <w:rStyle w:val="ColorGray"/>
        </w:rPr>
        <w:t xml:space="preserve"> </w:t>
      </w:r>
      <w:r>
        <w:t xml:space="preserve">[kṛmi]r bhūtvā pitṛbhis saha pacyate || mā bhutaphalaśaṅkā va[ḥ] paradatte-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⟨29⟩</w:t>
      </w:r>
      <w:r>
        <w:rPr>
          <w:rStyle w:val="ColorGray"/>
        </w:rPr>
        <w:t xml:space="preserve"> </w:t>
      </w:r>
      <w:r>
        <w:t xml:space="preserve">[ti] pārthiva || svadānā phalam ānantya {||} parada[ttānupālane] || …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⟨30⟩</w:t>
      </w:r>
      <w:r>
        <w:rPr>
          <w:rStyle w:val="ColorGray"/>
        </w:rPr>
        <w:t xml:space="preserve"> </w:t>
      </w:r>
      <w:r>
        <w:t xml:space="preserve">…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⟨31⟩</w:t>
      </w:r>
      <w:r>
        <w:rPr>
          <w:rStyle w:val="ColorGray"/>
        </w:rPr>
        <w:t xml:space="preserve"> </w:t>
      </w:r>
      <w:r>
        <w:t xml:space="preserve">[pra]ya◯cchati ||</w:t>
      </w:r>
    </w:p>
    <w:p>
      <w:pPr>
        <w:pStyle w:val="Heading1"/>
      </w:pPr>
      <w:r>
        <w:t xml:space="preserve">Bibliography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Cs/>
          <w:b/>
        </w:rPr>
        <w:t xml:space="preserve">[H]</w:t>
      </w:r>
      <w:r>
        <w:t xml:space="preserve"> </w:t>
      </w:r>
      <w:r>
        <w:t xml:space="preserve">Hultzsch, Eugen Julius Theodor. 1900–1901. “Plates of the time of Sasankaraja; Gupta-Samvat 300.” EI 6, pp. 143–146.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variable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bidi="" w:eastAsia="" w:val="en-US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808080"/>
    </w:rPr>
  </w:style>
  <w:style w:styleId="ColorGreen" w:type="character">
    <w:name w:val="ColorGreen"/>
    <w:basedOn w:val="DefaultParagraphFont"/>
    <w:qFormat/>
    <w:rPr>
      <w:color w:val="00A933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FF0000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465A4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/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Ganjam Plates of Mādhavarāja, Gupta Samvat 300</dc:title>
  <dc:creator>Arlo Griffiths</dc:creator>
  <cp:keywords/>
  <dcterms:created xsi:type="dcterms:W3CDTF">2026-09-30T04:02:49Z</dcterms:created>
  <dcterms:modified xsi:type="dcterms:W3CDTF">2026-09-30T04:02:49Z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