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SII 38.28A: original edition by S. Swaminathan</w:t>
      </w:r>
    </w:p>
    <w:p>
      <w:pPr>
        <w:pStyle w:val="Author"/>
      </w:pPr>
      <w:r>
        <w:t xml:space="preserve">Renato Dávalos</w:t>
      </w:r>
    </w:p>
    <w:p>
      <w:pPr>
        <w:pStyle w:val="FirstParagraph"/>
      </w:pPr>
      <w:r>
        <w:t xml:space="preserve">Alternative title: No. 28A. (A.R. No. 28A of 1912.) TIRUCHCHENDŪR, TIRUCHCHENDUR TALUK, TIRUNELVELI DISTRICT. On a slab set up in the Dēvayānā shrine, Subrahmaṇya temple</w:t>
      </w:r>
    </w:p>
    <w:p>
      <w:pPr>
        <w:pStyle w:val="BodyText"/>
      </w:pPr>
      <w:r>
        <w:t xml:space="preserve">Author of digital edition: Renato Dávalos</w:t>
      </w:r>
    </w:p>
    <w:p>
      <w:pPr>
        <w:pStyle w:val="BodyText"/>
      </w:pPr>
      <w:r>
        <w:t xml:space="preserve">Identifier: DHARMA_INSSIIv38p0i0028A</w:t>
      </w:r>
    </w:p>
    <w:p>
      <w:pPr>
        <w:pStyle w:val="BodyText"/>
      </w:pPr>
      <w:r>
        <w:t xml:space="preserve">Repository: SII original (south-indian-inscriptions)</w:t>
      </w:r>
    </w:p>
    <w:p>
      <w:pPr>
        <w:pStyle w:val="BodyText"/>
      </w:pPr>
      <w:r>
        <w:t xml:space="preserve">File path: SII_B_clean/SII38/DHARMA_INSSIIv38p0i0028A.xml</w:t>
      </w:r>
    </w:p>
    <w:p>
      <w:pPr>
        <w:pStyle w:val="BodyText"/>
      </w:pPr>
      <w:r>
        <w:t xml:space="preserve">Language: Tamil [Grantha, Tamil]</w:t>
      </w:r>
    </w:p>
    <w:p>
      <w:pPr>
        <w:pStyle w:val="BodyText"/>
      </w:pPr>
      <w:r>
        <w:t xml:space="preserve">Commit: 2026-10-21 12:21 (1e9deb1), last modified 2026-09-29 11:08 (2b36d53)</w:t>
      </w:r>
    </w:p>
    <w:p>
      <w:pPr>
        <w:pStyle w:val="Heading1"/>
      </w:pPr>
      <w:r>
        <w:t xml:space="preserve">Summary</w:t>
      </w:r>
    </w:p>
    <w:p>
      <w:pPr>
        <w:pStyle w:val="FirstParagraph"/>
      </w:pPr>
      <w:r>
        <w:rPr>
          <w:b/>
          <w:bCs/>
        </w:rPr>
        <w:t xml:space="preserve">King: ⎯⎯ Year: Śaka 1575.</w:t>
      </w:r>
      <w:r>
        <w:rPr>
          <w:b/>
          <w:bCs/>
        </w:rPr>
        <w:t xml:space="preserve"> </w:t>
      </w:r>
      <w:r>
        <w:rPr>
          <w:b/>
          <w:bCs/>
          <w:i/>
          <w:iCs/>
        </w:rPr>
        <w:t xml:space="preserve">Kollam</w:t>
      </w:r>
      <w:r>
        <w:rPr>
          <w:b/>
          <w:bCs/>
        </w:rPr>
        <w:t xml:space="preserve"> </w:t>
      </w:r>
      <w:r>
        <w:rPr>
          <w:b/>
          <w:bCs/>
        </w:rPr>
        <w:t xml:space="preserve">829,</w:t>
      </w:r>
      <w:r>
        <w:rPr>
          <w:b/>
          <w:bCs/>
        </w:rPr>
        <w:t xml:space="preserve"> </w:t>
      </w:r>
      <w:r>
        <w:rPr>
          <w:b/>
          <w:bCs/>
          <w:i/>
          <w:iCs/>
        </w:rPr>
        <w:t xml:space="preserve">Viśaiya, Tai</w:t>
      </w:r>
      <w:r>
        <w:rPr>
          <w:b/>
          <w:bCs/>
        </w:rPr>
        <w:t xml:space="preserve"> </w:t>
      </w:r>
      <w:r>
        <w:rPr>
          <w:b/>
          <w:bCs/>
        </w:rPr>
        <w:t xml:space="preserve">23, Friday, 13,</w:t>
      </w:r>
      <w:r>
        <w:rPr>
          <w:b/>
          <w:bCs/>
        </w:rPr>
        <w:t xml:space="preserve"> </w:t>
      </w:r>
      <w:r>
        <w:rPr>
          <w:b/>
          <w:bCs/>
          <w:i/>
          <w:iCs/>
        </w:rPr>
        <w:t xml:space="preserve">Puṇar pūśam</w:t>
      </w:r>
      <w:r>
        <w:rPr>
          <w:b/>
          <w:bCs/>
        </w:rPr>
        <w:t xml:space="preserve"> </w:t>
      </w:r>
      <w:r>
        <w:rPr>
          <w:b/>
          <w:bCs/>
        </w:rPr>
        <w:t xml:space="preserve">= 1653 A.D. Other details are irregular.</w:t>
      </w:r>
    </w:p>
    <w:p>
      <w:pPr>
        <w:pStyle w:val="BodyText"/>
      </w:pPr>
      <w:r>
        <w:t xml:space="preserve">This inscription records that Viśvaṉātha Nāyakkar and Tirumalai Nāyakkar had got the procession of the god, conducted, for the merit of a certain Vaḍamalai Pappu-piḷḷai. It is also stated that this was the charity of Bhūtaṉāthaṉ.</w:t>
      </w:r>
    </w:p>
    <w:p>
      <w:r>
        <w:pict>
          <v:rect style="width:0;height:1.5pt" o:hralign="center" o:hrstd="t" o:hr="t"/>
        </w:pict>
      </w:r>
    </w:p>
    <w:p>
      <w:pPr>
        <w:pStyle w:val="Heading1"/>
      </w:pPr>
      <w:r>
        <w:t xml:space="preserve">Edition</w:t>
      </w:r>
    </w:p>
    <w:p>
      <w:pPr>
        <w:pStyle w:val="FirstParagraph"/>
      </w:pPr>
      <w:r>
        <w:rPr>
          <w:rStyle w:val="ColorGray"/>
        </w:rPr>
        <w:t xml:space="preserve"> </w:t>
      </w:r>
      <w:r>
        <w:rPr>
          <w:rStyle w:val="ColorGray"/>
        </w:rPr>
        <w:t xml:space="preserve">⟨1⟩</w:t>
      </w:r>
      <w:r>
        <w:rPr>
          <w:rStyle w:val="ColorGray"/>
        </w:rPr>
        <w:t xml:space="preserve"> </w:t>
      </w:r>
      <w:r>
        <w:t xml:space="preserve">cakāt=tam</w:t>
      </w:r>
      <w:r>
        <w:t xml:space="preserve"> </w:t>
      </w:r>
      <w:r>
        <w:rPr>
          <w:b/>
          <w:bCs/>
        </w:rPr>
        <w:t xml:space="preserve">4 1000 3 100 7 10 x5</w:t>
      </w:r>
      <w:r>
        <w:rPr>
          <w:rStyle w:val="ColorGray"/>
        </w:rPr>
        <w:t xml:space="preserve">⟨2⟩</w:t>
      </w:r>
      <w:r>
        <w:t xml:space="preserve">ṉṉāl cellā</w:t>
      </w:r>
      <w:r>
        <w:rPr>
          <w:rStyle w:val="ColorGray"/>
        </w:rPr>
        <w:t xml:space="preserve">⟨3⟩</w:t>
      </w:r>
      <w:r>
        <w:t xml:space="preserve">niṉṟa kollam</w:t>
      </w:r>
      <w:r>
        <w:rPr>
          <w:rStyle w:val="ColorGray"/>
        </w:rPr>
        <w:t xml:space="preserve">⟨4⟩</w:t>
      </w:r>
      <w:r>
        <w:rPr>
          <w:b/>
          <w:bCs/>
        </w:rPr>
        <w:t xml:space="preserve">8 100 2 10 1</w:t>
      </w:r>
      <w:r>
        <w:t xml:space="preserve"> </w:t>
      </w:r>
      <w:r>
        <w:t xml:space="preserve">vicaiya ௵</w:t>
      </w:r>
      <w:r>
        <w:rPr>
          <w:rStyle w:val="ColorGray"/>
        </w:rPr>
        <w:t xml:space="preserve">⟨5⟩</w:t>
      </w:r>
      <w:r>
        <w:t xml:space="preserve">taiy ௴</w:t>
      </w:r>
      <w:r>
        <w:t xml:space="preserve"> </w:t>
      </w:r>
      <w:r>
        <w:rPr>
          <w:b/>
          <w:bCs/>
        </w:rPr>
        <w:t xml:space="preserve">2 10 3 ௳</w:t>
      </w:r>
      <w:r>
        <w:t xml:space="preserve"> </w:t>
      </w:r>
      <w:r>
        <w:t xml:space="preserve">ve</w:t>
      </w:r>
      <w:r>
        <w:rPr>
          <w:rStyle w:val="ColorGray"/>
        </w:rPr>
        <w:t xml:space="preserve">⟨6⟩</w:t>
      </w:r>
      <w:r>
        <w:t xml:space="preserve">ḷḷikkiḷamaiyum ti⌈</w:t>
      </w:r>
      <w:r>
        <w:rPr>
          <w:rStyle w:val="ColorGray"/>
        </w:rPr>
        <w:t xml:space="preserve">⟨7⟩</w:t>
      </w:r>
      <w:r>
        <w:t xml:space="preserve">ṟaiyotaciyum civayoka</w:t>
      </w:r>
      <w:r>
        <w:rPr>
          <w:rStyle w:val="ColorGray"/>
        </w:rPr>
        <w:t xml:space="preserve">⟨8⟩</w:t>
      </w:r>
      <w:r>
        <w:t xml:space="preserve">civakaraṇamum pe⟨ṟ⟩ṟa puṇar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⟨9⟩</w:t>
      </w:r>
      <w:r>
        <w:rPr>
          <w:rStyle w:val="ColorGray"/>
        </w:rPr>
        <w:t xml:space="preserve"> </w:t>
      </w:r>
      <w:r>
        <w:t xml:space="preserve">pūcati nāḷ mituṉalakṉa</w:t>
      </w:r>
      <w:r>
        <w:rPr>
          <w:rStyle w:val="ColorGray"/>
        </w:rPr>
        <w:t xml:space="preserve">⟨10⟩</w:t>
      </w:r>
      <w:r>
        <w:t xml:space="preserve">ttil vicuvaṉātanāyakkaray</w:t>
      </w:r>
      <w:r>
        <w:rPr>
          <w:rStyle w:val="ColorGray"/>
        </w:rPr>
        <w:t xml:space="preserve">⟨11⟩</w:t>
      </w:r>
      <w:r>
        <w:t xml:space="preserve">yaṉ tirumalaināyakkaray</w:t>
      </w:r>
      <w:r>
        <w:rPr>
          <w:rStyle w:val="ColorGray"/>
        </w:rPr>
        <w:t xml:space="preserve">⟨12⟩</w:t>
      </w:r>
      <w:r>
        <w:t xml:space="preserve">yaṉ vaṭamalai pappupiḷḷai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⟨13⟩</w:t>
      </w:r>
      <w:r>
        <w:rPr>
          <w:rStyle w:val="ColorGray"/>
        </w:rPr>
        <w:t xml:space="preserve"> </w:t>
      </w:r>
      <w:r>
        <w:t xml:space="preserve">yavarkaḷai laṭcikkum po⌈</w:t>
      </w:r>
      <w:r>
        <w:rPr>
          <w:rStyle w:val="ColorGray"/>
        </w:rPr>
        <w:t xml:space="preserve">⟨14⟩</w:t>
      </w:r>
      <w:r>
        <w:t xml:space="preserve">ru⟨ṭ⟩ṭāka cuvāmi yeḷunta</w:t>
      </w:r>
      <w:r>
        <w:rPr>
          <w:rStyle w:val="ColorGray"/>
        </w:rPr>
        <w:t xml:space="preserve">⟨15⟩</w:t>
      </w:r>
      <w:r>
        <w:t xml:space="preserve">ruḷiṉār pūtaṉātaṉ catā</w:t>
      </w:r>
      <w:r>
        <w:rPr>
          <w:rStyle w:val="ColorGray"/>
        </w:rPr>
        <w:t xml:space="preserve">⟨16⟩</w:t>
      </w:r>
      <w:r>
        <w:t xml:space="preserve">cervai [∥]</w:t>
      </w:r>
    </w:p>
    <w:p>
      <w:pPr>
        <w:pStyle w:val="Heading1"/>
      </w:pPr>
      <w:r>
        <w:t xml:space="preserve">Bibliography</w:t>
      </w:r>
    </w:p>
    <w:p>
      <w:pPr>
        <w:pStyle w:val="FirstParagraph"/>
      </w:pPr>
      <w:r>
        <w:t xml:space="preserve">Digital edition of SII 38.28A by Swaminathan 2019 converted to DHARMA conventions by Renato Dávalos.</w:t>
      </w:r>
    </w:p>
    <w:p>
      <w:pPr>
        <w:pStyle w:val="Heading2"/>
      </w:pPr>
      <w:r>
        <w:t xml:space="preserve">Primary</w:t>
      </w:r>
    </w:p>
    <w:p>
      <w:pPr>
        <w:pStyle w:val="FirstParagraph"/>
      </w:pPr>
      <w:r>
        <w:rPr>
          <w:b/>
          <w:bCs/>
        </w:rPr>
        <w:t xml:space="preserve">[SII]</w:t>
      </w:r>
      <w:r>
        <w:t xml:space="preserve"> </w:t>
      </w:r>
      <w:r>
        <w:t xml:space="preserve">Swaminathan, S. 2019.</w:t>
      </w:r>
      <w:r>
        <w:t xml:space="preserve"> </w:t>
      </w:r>
      <w:r>
        <w:rPr>
          <w:i/>
          <w:iCs/>
        </w:rPr>
        <w:t xml:space="preserve">South Indian inscriptions. Volume XXXVIII: Inscriptions collected during the year 1912</w:t>
      </w:r>
      <w:r>
        <w:t xml:space="preserve">. South Indian Inscriptions 38. New Delhi: Archaeological survey of India (Director General). Page 40, item 28A.</w:t>
      </w:r>
    </w:p>
    <w:sectPr>
      <w:footnotePr>
        <w:numFmt w:val="decimal"/>
        <w:numRestart w:val="eachSect"/>
      </w:footnotePr>
      <w:type w:val="nextPage"/>
      <w:pgSz w:h="15840" w:w="12240"/>
      <w:pgMar w:bottom="1440" w:footer="0" w:gutter="0" w:header="0" w:left="1440" w:right="1440" w:top="1440"/>
      <w:pgNumType w:fmt="decimal"/>
      <w:formProt w:val="false"/>
      <w:textDirection w:val="lrTb"/>
      <w:docGrid w:charSpace="0" w:linePitch="100" w:type="default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Aptos">
    <w:charset w:val="01"/>
    <w:family w:val="auto"/>
    <w:pitch w:val="default"/>
  </w:font>
  <w:font w:name="Gentium">
    <w:charset w:val="01"/>
    <w:family w:val="auto"/>
    <w:pitch w:val="default"/>
  </w:font>
  <w:font w:name="Aptos Display">
    <w:charset w:val="01"/>
    <w:family w:val="auto"/>
    <w:pitch w:val="default"/>
  </w:font>
  <w:font w:name="Consolas">
    <w:charset w:val="01"/>
    <w:family w:val="auto"/>
    <w:pitch w:val="default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1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2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3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4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5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6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7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8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1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2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3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4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5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6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7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8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">
    <w:abstractNumId w:val="1"/>
  </w:num>
  <w:num w:numId="2">
    <w:abstractNumId w:val="2"/>
  </w: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75"/>
  <w:embedSystemFonts/>
  <w:proofState w:grammar="clean" w:spelling="clean"/>
  <w:stylePaneFormatFilter w:val="0004"/>
  <w:doNotTrackMoves/>
  <w:defaultTabStop w:val="720"/>
  <w:autoHyphenation w:val="true"/>
  <w:hyphenationZone w:val="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compatSetting w:name="compatibilityMode" w:uri="http://schemas.microsoft.com/office/word" w:val="12"/>
  </w:compat>
  <w:rsids>
  </w:rsids>
  <w:themeFontLang w:bidi="" w:eastAsia="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Aptos" w:asciiTheme="minorHAnsi" w:cs="" w:cstheme="minorBidi" w:eastAsia="Aptos" w:eastAsiaTheme="minorHAnsi" w:hAnsi="Aptos" w:hAnsiTheme="minorHAnsi"/>
        <w:sz w:val="24"/>
        <w:szCs w:val="24"/>
        <w:lang w:bidi="ar-SA" w:eastAsia="en-US" w:val="en-US"/>
      </w:rPr>
    </w:rPrDefault>
    <w:pPrDefault>
      <w:pPr>
        <w:suppressAutoHyphens w:val="true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widowControl/>
      <w:suppressAutoHyphens w:val="true"/>
      <w:bidi w:val="0"/>
      <w:spacing w:after="200" w:before="0" w:line="276" w:lineRule="auto"/>
      <w:jc w:val="left"/>
    </w:pPr>
    <w:rPr>
      <w:rFonts w:ascii="Gentium" w:cs="" w:cstheme="minorBidi" w:eastAsia="Aptos" w:eastAsiaTheme="minorHAnsi" w:hAnsi="Gentium"/>
      <w:color w:val="auto"/>
      <w:kern w:val="0"/>
      <w:sz w:val="24"/>
      <w:szCs w:val="24"/>
      <w:lang w:bidi="ar-SA" w:eastAsia="en-US" w:val="en-US"/>
    </w:rPr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 w:val="true"/>
      <w:keepLines/>
      <w:spacing w:after="80" w:before="360" w:line="240" w:lineRule="auto"/>
      <w:outlineLvl w:val="0"/>
    </w:pPr>
    <w:rPr>
      <w:rFonts w:ascii="Gentium" w:cs="" w:cstheme="majorBidi" w:eastAsia="" w:eastAsiaTheme="majorEastAsia" w:hAnsi="Gentium"/>
      <w:color w:val="auto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 w:val="true"/>
      <w:keepLines/>
      <w:spacing w:after="80" w:before="160"/>
      <w:outlineLvl w:val="1"/>
    </w:pPr>
    <w:rPr>
      <w:rFonts w:ascii="Gentium" w:cs="" w:cstheme="majorBidi" w:eastAsia="" w:eastAsiaTheme="majorEastAsia" w:hAnsi="Gentium"/>
      <w:color w:val="000000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 w:val="true"/>
      <w:keepLines/>
      <w:spacing w:after="80" w:before="160"/>
      <w:outlineLvl w:val="2"/>
    </w:pPr>
    <w:rPr>
      <w:rFonts w:ascii="Gentium" w:cs="" w:cstheme="majorBidi" w:eastAsia="" w:eastAsiaTheme="majorEastAsia" w:hAnsi="Gentium"/>
      <w:color w:val="000000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 w:val="true"/>
      <w:keepLines/>
      <w:spacing w:after="40" w:before="80"/>
      <w:outlineLvl w:val="3"/>
    </w:pPr>
    <w:rPr>
      <w:rFonts w:ascii="Gentium" w:cs="" w:cstheme="majorBidi" w:eastAsia="" w:eastAsiaTheme="majorEastAsia" w:hAnsi="Gentium"/>
      <w:i/>
      <w:iCs/>
      <w:color w:val="000000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 w:val="true"/>
      <w:keepLines/>
      <w:spacing w:after="40" w:before="80"/>
      <w:outlineLvl w:val="4"/>
    </w:pPr>
    <w:rPr>
      <w:rFonts w:ascii="Gentium" w:cs="" w:cstheme="majorBidi" w:eastAsia="" w:eastAsiaTheme="majorEastAsia" w:hAnsi="Gentium"/>
      <w:color w:val="000000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 w:val="true"/>
      <w:keepLines/>
      <w:spacing w:after="0" w:before="40"/>
      <w:outlineLvl w:val="5"/>
    </w:pPr>
    <w:rPr>
      <w:rFonts w:ascii="Gentium" w:cs="" w:cstheme="majorBidi" w:eastAsia="" w:eastAsiaTheme="majorEastAsia" w:hAnsi="Gentium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 w:val="true"/>
      <w:keepLines/>
      <w:spacing w:after="0" w:before="40"/>
      <w:outlineLvl w:val="6"/>
    </w:pPr>
    <w:rPr>
      <w:rFonts w:ascii="Gentium" w:cs="" w:cstheme="majorBidi" w:eastAsia="" w:eastAsiaTheme="majorEastAsia" w:hAnsi="Gentium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 w:val="true"/>
      <w:keepLines/>
      <w:spacing w:after="0" w:before="0"/>
      <w:outlineLvl w:val="7"/>
    </w:pPr>
    <w:rPr>
      <w:rFonts w:ascii="Gentium" w:cs="" w:cstheme="majorBidi" w:eastAsia="" w:eastAsiaTheme="majorEastAsia" w:hAnsi="Gentium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 w:val="true"/>
      <w:keepLines/>
      <w:spacing w:after="0" w:before="0"/>
      <w:outlineLvl w:val="8"/>
    </w:pPr>
    <w:rPr>
      <w:rFonts w:ascii="Gentium" w:cs="" w:cstheme="majorBidi" w:eastAsia="" w:eastAsiaTheme="majorEastAsia" w:hAnsi="Gentium"/>
      <w:color w:themeColor="text1" w:themeTint="d8" w:val="272727"/>
    </w:rPr>
  </w:style>
  <w:style w:customStyle="1" w:styleId="TitleChar" w:type="character">
    <w:name w:val="Title Char"/>
    <w:basedOn w:val="DefaultParagraphFont"/>
    <w:link w:val="Title"/>
    <w:uiPriority w:val="10"/>
    <w:qFormat/>
    <w:rsid w:val="00a10fd9"/>
    <w:rPr>
      <w:rFonts w:ascii="Aptos Display" w:asciiTheme="majorHAnsi" w:cs="" w:cstheme="majorBidi" w:eastAsia="" w:eastAsiaTheme="majorEastAsia" w:hAnsi="Aptos Display" w:hAnsiTheme="majorHAnsi"/>
      <w:sz w:val="56"/>
      <w:szCs w:val="56"/>
    </w:rPr>
  </w:style>
  <w:style w:customStyle="1" w:styleId="SubtitleChar" w:type="character">
    <w:name w:val="Subtitle Char"/>
    <w:basedOn w:val="DefaultParagraphFont"/>
    <w:link w:val="Subtitle"/>
    <w:uiPriority w:val="11"/>
    <w:qFormat/>
    <w:rsid w:val="00a10fd9"/>
    <w:rPr>
      <w:rFonts w:cs="" w:cstheme="majorBidi" w:eastAsia="" w:eastAsiaTheme="majorEastAsia"/>
      <w:color w:themeColor="text1" w:themeTint="a6" w:val="595959"/>
      <w:spacing w:val="15"/>
      <w:sz w:val="28"/>
      <w:szCs w:val="28"/>
    </w:rPr>
  </w:style>
  <w:style w:customStyle="1" w:styleId="Heading1Char" w:type="character">
    <w:name w:val="Heading 1 Char"/>
    <w:basedOn w:val="DefaultParagraphFont"/>
    <w:link w:val="Heading1"/>
    <w:uiPriority w:val="9"/>
    <w:qFormat/>
    <w:rsid w:val="00a10fd9"/>
    <w:rPr>
      <w:rFonts w:ascii="Aptos Display" w:asciiTheme="majorHAnsi" w:cs="" w:cstheme="majorBidi" w:eastAsia="" w:eastAsiaTheme="majorEastAsia" w:hAnsi="Aptos Display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qFormat/>
    <w:rsid w:val="00a10fd9"/>
    <w:rPr>
      <w:rFonts w:ascii="Aptos Display" w:asciiTheme="majorHAnsi" w:cs="" w:cstheme="majorBidi" w:eastAsia="" w:eastAsiaTheme="majorEastAsia" w:hAnsi="Aptos Display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qFormat/>
    <w:rsid w:val="00a10fd9"/>
    <w:rPr>
      <w:rFonts w:cs="" w:cstheme="majorBidi" w:eastAsia="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qFormat/>
    <w:rsid w:val="00a10fd9"/>
    <w:rPr>
      <w:rFonts w:cs="" w:cstheme="majorBidi" w:eastAsia="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qFormat/>
    <w:rsid w:val="00a10fd9"/>
    <w:rPr>
      <w:rFonts w:cs="" w:cstheme="majorBidi" w:eastAsia="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qFormat/>
    <w:rsid w:val="00a10fd9"/>
    <w:rPr>
      <w:rFonts w:cs="" w:cstheme="majorBidi" w:eastAsia="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qFormat/>
    <w:rsid w:val="00a10fd9"/>
    <w:rPr>
      <w:rFonts w:cs="" w:cstheme="majorBidi" w:eastAsia="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qFormat/>
    <w:rsid w:val="00a10fd9"/>
    <w:rPr>
      <w:rFonts w:cs="" w:cstheme="majorBidi" w:eastAsia="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qFormat/>
    <w:rsid w:val="00a10fd9"/>
    <w:rPr>
      <w:rFonts w:cs="" w:cstheme="majorBidi" w:eastAsia="" w:eastAsiaTheme="majorEastAsia"/>
      <w:color w:themeColor="text1" w:themeTint="d8" w:val="272727"/>
    </w:rPr>
  </w:style>
  <w:style w:default="1" w:styleId="DefaultParagraphFont" w:type="character">
    <w:name w:val="Default Paragraph Font"/>
    <w:semiHidden/>
    <w:unhideWhenUsed/>
    <w:qFormat/>
    <w:rPr/>
  </w:style>
  <w:style w:customStyle="1" w:styleId="BodyTextChar" w:type="character">
    <w:name w:val="Body Text Char"/>
    <w:basedOn w:val="DefaultParagraphFont"/>
    <w:qFormat/>
    <w:rPr/>
  </w:style>
  <w:style w:customStyle="1" w:styleId="VerbatimChar" w:type="character">
    <w:name w:val="Verbatim Char"/>
    <w:basedOn w:val="BodyTextChar"/>
    <w:qFormat/>
    <w:rPr>
      <w:rFonts w:ascii="Consolas" w:hAnsi="Consolas"/>
      <w:sz w:val="22"/>
    </w:rPr>
  </w:style>
  <w:style w:customStyle="1" w:styleId="SectionNumber" w:type="character">
    <w:name w:val="Section Number"/>
    <w:basedOn w:val="BodyTextChar"/>
    <w:qFormat/>
    <w:rPr/>
  </w:style>
  <w:style w:styleId="FootnoteCharactersuser" w:type="character">
    <w:name w:val="Footnote Characters (user)"/>
    <w:qFormat/>
    <w:rPr>
      <w:vertAlign w:val="superscript"/>
    </w:rPr>
  </w:style>
  <w:style w:styleId="FootnoteCharacters" w:type="character">
    <w:name w:val="Footnote Characters"/>
    <w:qFormat/>
    <w:rPr>
      <w:vertAlign w:val="superscript"/>
    </w:rPr>
  </w:style>
  <w:style w:styleId="FootnoteReference" w:type="character">
    <w:name w:val="footnote reference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ColorGray" w:type="character">
    <w:name w:val="ColorGray"/>
    <w:basedOn w:val="BodyTextChar"/>
    <w:qFormat/>
    <w:rPr>
      <w:color w:val="666666"/>
    </w:rPr>
  </w:style>
  <w:style w:styleId="ColorGreen" w:type="character">
    <w:name w:val="ColorGreen"/>
    <w:basedOn w:val="DefaultParagraphFont"/>
    <w:qFormat/>
    <w:rPr>
      <w:color w:val="069A2E"/>
    </w:rPr>
  </w:style>
  <w:style w:styleId="ColorBrown" w:type="character">
    <w:name w:val="ColorBrown"/>
    <w:basedOn w:val="ColorGreen"/>
    <w:qFormat/>
    <w:rPr>
      <w:color w:val="784B04"/>
    </w:rPr>
  </w:style>
  <w:style w:styleId="CaptionCharactersuser" w:type="character">
    <w:name w:val="Caption Characters (user)"/>
    <w:qFormat/>
    <w:rPr/>
  </w:style>
  <w:style w:styleId="ColorRed" w:type="character">
    <w:name w:val="ColorRed"/>
    <w:basedOn w:val="CaptionCharactersuser"/>
    <w:qFormat/>
    <w:rPr>
      <w:color w:val="C9211E"/>
    </w:rPr>
  </w:style>
  <w:style w:styleId="ColorMagenta" w:type="character">
    <w:name w:val="ColorMagenta"/>
    <w:basedOn w:val="ColorBrown"/>
    <w:qFormat/>
    <w:rPr>
      <w:color w:val="800080"/>
    </w:rPr>
  </w:style>
  <w:style w:styleId="ColorBlue" w:type="character">
    <w:name w:val="ColorBlue"/>
    <w:basedOn w:val="ColorGray"/>
    <w:qFormat/>
    <w:rPr>
      <w:color w:val="2A6099"/>
    </w:rPr>
  </w:style>
  <w:style w:styleId="ColorBlack" w:type="character">
    <w:name w:val="ColorBlack"/>
    <w:basedOn w:val="ColorBlue"/>
    <w:qFormat/>
    <w:rPr>
      <w:color w:val="000000"/>
    </w:rPr>
  </w:style>
  <w:style w:styleId="EndnoteCharacters" w:type="character">
    <w:name w:val="Endnote Characters"/>
    <w:qFormat/>
    <w:rPr>
      <w:vertAlign w:val="superscript"/>
    </w:rPr>
  </w:style>
  <w:style w:styleId="EndnoteCharactersuser" w:type="character">
    <w:name w:val="Endnote Characters (user)"/>
    <w:qFormat/>
    <w:rPr>
      <w:vertAlign w:val="superscript"/>
    </w:rPr>
  </w:style>
  <w:style w:styleId="EndnoteReference" w:type="character">
    <w:name w:val="endnote reference"/>
    <w:rPr>
      <w:vertAlign w:val="superscript"/>
    </w:rPr>
  </w:style>
  <w:style w:styleId="Heading" w:type="paragraph">
    <w:name w:val="Heading"/>
    <w:basedOn w:val="Normal"/>
    <w:next w:val="BodyText"/>
    <w:qFormat/>
    <w:pPr>
      <w:keepNext w:val="true"/>
      <w:spacing w:after="120" w:before="240"/>
    </w:pPr>
    <w:rPr>
      <w:rFonts w:ascii="Gentium" w:cs="Noto Sans Devanagari" w:eastAsia="Noto Sans CJK SC" w:hAnsi="Gentium"/>
      <w:sz w:val="28"/>
      <w:szCs w:val="28"/>
    </w:rPr>
  </w:style>
  <w:style w:styleId="BodyText" w:type="paragraph">
    <w:name w:val="Body Text"/>
    <w:basedOn w:val="Normal"/>
    <w:link w:val="BodyTextChar"/>
    <w:qFormat/>
    <w:pPr>
      <w:spacing w:after="180" w:before="180" w:line="276" w:lineRule="auto"/>
    </w:pPr>
    <w:rPr>
      <w:rFonts w:ascii="Gentium" w:hAnsi="Gentium"/>
    </w:rPr>
  </w:style>
  <w:style w:styleId="List" w:type="paragraph">
    <w:name w:val="List"/>
    <w:basedOn w:val="BodyText"/>
    <w:pPr/>
    <w:rPr>
      <w:rFonts w:ascii="Gentium" w:cs="Noto Sans Devanagari" w:hAnsi="Gentium"/>
    </w:rPr>
  </w:style>
  <w:style w:styleId="Caption" w:type="paragraph">
    <w:name w:val="caption"/>
    <w:basedOn w:val="Normal"/>
    <w:link w:val="BodyTextChar"/>
    <w:qFormat/>
    <w:pPr>
      <w:spacing w:after="120" w:before="0"/>
    </w:pPr>
    <w:rPr>
      <w:rFonts w:ascii="Gentium" w:hAnsi="Gentium"/>
      <w:i/>
    </w:rPr>
  </w:style>
  <w:style w:styleId="Index" w:type="paragraph">
    <w:name w:val="Index"/>
    <w:basedOn w:val="Normal"/>
    <w:qFormat/>
    <w:pPr>
      <w:suppressLineNumbers/>
    </w:pPr>
    <w:rPr>
      <w:rFonts w:ascii="Gentium" w:cs="Noto Sans Devanagari" w:hAnsi="Gentium"/>
    </w:rPr>
  </w:style>
  <w:style w:customStyle="1" w:styleId="FirstParagraph" w:type="paragraph">
    <w:name w:val="First Paragraph"/>
    <w:basedOn w:val="BodyText"/>
    <w:next w:val="BodyText"/>
    <w:qFormat/>
    <w:pPr>
      <w:spacing w:line="276" w:lineRule="auto"/>
    </w:pPr>
    <w:rPr>
      <w:rFonts w:ascii="Gentium" w:hAnsi="Gentium"/>
    </w:rPr>
  </w:style>
  <w:style w:customStyle="1" w:styleId="Compact" w:type="paragraph">
    <w:name w:val="Compact"/>
    <w:basedOn w:val="BodyText"/>
    <w:qFormat/>
    <w:pPr>
      <w:spacing w:after="36" w:before="36"/>
    </w:pPr>
    <w:rPr/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before="0" w:line="240" w:lineRule="auto"/>
      <w:contextualSpacing/>
      <w:jc w:val="center"/>
    </w:pPr>
    <w:rPr>
      <w:rFonts w:ascii="Gentium" w:cs="" w:cstheme="majorBidi" w:eastAsia="" w:eastAsiaTheme="majorEastAsia" w:hAnsi="Gentium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/>
    <w:rPr>
      <w:rFonts w:cs="" w:cstheme="majorBidi" w:eastAsia="" w:eastAsiaTheme="majorEastAsia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 w:val="true"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 w:val="true"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 w:val="true"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 w:val="true"/>
      <w:keepLines/>
      <w:spacing w:after="300" w:before="100"/>
    </w:pPr>
    <w:rPr>
      <w:rFonts w:ascii="Gentium" w:hAnsi="Gentium"/>
      <w:sz w:val="20"/>
      <w:szCs w:val="20"/>
    </w:rPr>
  </w:style>
  <w:style w:styleId="Bibliography" w:type="paragraph">
    <w:name w:val="Bibliography"/>
    <w:basedOn w:val="Normal"/>
    <w:qFormat/>
    <w:pPr/>
    <w:rPr/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hanging="0" w:left="480" w:right="480"/>
    </w:pPr>
    <w:rPr/>
  </w:style>
  <w:style w:styleId="FootnoteText" w:type="paragraph">
    <w:name w:val="footnote text"/>
    <w:basedOn w:val="Normal"/>
    <w:uiPriority w:val="9"/>
    <w:unhideWhenUsed/>
    <w:qFormat/>
    <w:pPr/>
    <w:rPr>
      <w:rFonts w:ascii="Gentium" w:hAnsi="Gentium"/>
    </w:rPr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hanging="0" w:left="480" w:right="480"/>
    </w:pPr>
    <w:rPr>
      <w:rFonts w:ascii="Gentium" w:hAnsi="Gentium"/>
    </w:rPr>
  </w:style>
  <w:style w:customStyle="1" w:styleId="DefinitionTerm" w:type="paragraph">
    <w:name w:val="Definition Term"/>
    <w:basedOn w:val="Normal"/>
    <w:next w:val="Definition"/>
    <w:qFormat/>
    <w:pPr>
      <w:keepNext w:val="true"/>
      <w:keepLines/>
      <w:spacing w:after="0" w:before="0"/>
    </w:pPr>
    <w:rPr>
      <w:rFonts w:ascii="Gentium" w:hAnsi="Gentium"/>
      <w:b/>
    </w:rPr>
  </w:style>
  <w:style w:customStyle="1" w:styleId="Definition" w:type="paragraph">
    <w:name w:val="Definition"/>
    <w:basedOn w:val="Normal"/>
    <w:qFormat/>
    <w:pPr>
      <w:ind w:left="475"/>
    </w:pPr>
    <w:rPr>
      <w:rFonts w:ascii="Gentium" w:hAnsi="Gentium"/>
    </w:rPr>
  </w:style>
  <w:style w:customStyle="1" w:styleId="TableCaption" w:type="paragraph">
    <w:name w:val="Table Caption"/>
    <w:basedOn w:val="Caption"/>
    <w:qFormat/>
    <w:pPr>
      <w:keepNext w:val="true"/>
    </w:pPr>
    <w:rPr/>
  </w:style>
  <w:style w:customStyle="1" w:styleId="ImageCaption" w:type="paragraph">
    <w:name w:val="Image Caption"/>
    <w:basedOn w:val="Caption"/>
    <w:qFormat/>
    <w:pPr/>
    <w:rPr/>
  </w:style>
  <w:style w:customStyle="1" w:styleId="Figure" w:type="paragraph">
    <w:name w:val="Figure"/>
    <w:basedOn w:val="Normal"/>
    <w:qFormat/>
    <w:pPr/>
    <w:rPr/>
  </w:style>
  <w:style w:customStyle="1" w:styleId="CaptionedFigure" w:type="paragraph">
    <w:name w:val="Captioned Figure"/>
    <w:basedOn w:val="Figure"/>
    <w:qFormat/>
    <w:pPr>
      <w:keepNext w:val="true"/>
    </w:pPr>
    <w:rPr/>
  </w:style>
  <w:style w:styleId="IndexHeading" w:type="paragraph">
    <w:name w:val="index heading"/>
    <w:basedOn w:val="Heading"/>
    <w:pPr/>
    <w:rPr/>
  </w:style>
  <w:style w:styleId="TOCHeading" w:type="paragraph">
    <w:name w:val="TOC Heading"/>
    <w:basedOn w:val="Heading1"/>
    <w:next w:val="BodyText"/>
    <w:uiPriority w:val="39"/>
    <w:unhideWhenUsed/>
    <w:qFormat/>
    <w:pPr>
      <w:spacing w:after="80" w:before="240" w:line="259" w:lineRule="auto"/>
      <w:outlineLvl w:val="9"/>
    </w:pPr>
    <w:rPr>
      <w:rFonts w:ascii="Aptos Display" w:asciiTheme="majorHAnsi" w:cs="" w:cstheme="majorBidi" w:eastAsia="" w:eastAsiaTheme="majorEastAsia" w:hAnsi="Aptos Display" w:hAnsiTheme="majorHAnsi"/>
      <w:b w:val="false"/>
      <w:bCs w:val="false"/>
      <w:color w:themeColor="accent1" w:themeShade="bf" w:val="365F91"/>
    </w:rPr>
  </w:style>
  <w:style w:styleId="Heading10" w:type="paragraph">
    <w:name w:val="Heading 10"/>
    <w:basedOn w:val="Heading"/>
    <w:next w:val="BodyText"/>
    <w:qFormat/>
    <w:pPr>
      <w:numPr>
        <w:ilvl w:val="8"/>
        <w:numId w:val="1"/>
      </w:numPr>
      <w:spacing w:after="60" w:before="60"/>
      <w:outlineLvl w:val="8"/>
    </w:pPr>
    <w:rPr>
      <w:b/>
      <w:bCs/>
      <w:sz w:val="18"/>
      <w:szCs w:val="18"/>
    </w:rPr>
  </w:style>
  <w:style w:styleId="BodyTextIndent" w:type="paragraph">
    <w:name w:val="Body Text Indent"/>
    <w:basedOn w:val="BodyText"/>
    <w:pPr>
      <w:ind w:hanging="0" w:left="283"/>
    </w:pPr>
    <w:rPr/>
  </w:style>
  <w:style w:styleId="BlockQuotationuser" w:type="paragraph">
    <w:name w:val="Block Quotation (user)"/>
    <w:basedOn w:val="Normal"/>
    <w:qFormat/>
    <w:pPr>
      <w:spacing w:after="283" w:before="0"/>
      <w:ind w:hanging="0" w:left="567" w:right="567"/>
    </w:pPr>
    <w:rPr>
      <w:rFonts w:ascii="Gentium" w:hAnsi="Gentium"/>
    </w:rPr>
  </w:style>
  <w:style w:default="1" w:styleId="Table" w:type="table">
    <w:name w:val="Table"/>
    <w:basedOn w:val="TableNormal"/>
    <w:semiHidden/>
    <w:unhideWhenUsed/>
    <w:qFormat/>
    <w:tblPr>
      <w:tblCellMar>
        <w:top w:type="dxa" w:w="0"/>
        <w:left w:type="dxa" w:w="108"/>
        <w:bottom w:type="dxa" w:w="0"/>
        <w:right w:type="dxa" w:w="108"/>
      </w:tblCellMar>
    </w:tblPr>
    <w:tblStylePr w:type="firstRow">
      <w:tblPr/>
      <w:tcPr>
        <w:tcBorders>
          <w:bottom w:val="single"/>
        </w:tcBorders>
        <w:vAlign w:val="bottom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 pitchFamily="0" charset="1"/>
        <a:ea typeface=""/>
        <a:cs typeface=""/>
      </a:majorFont>
      <a:minorFont>
        <a:latin typeface="Aptos" panose="0211000402020202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Application>LibreOffice/26.2.6.3$Linux_X86_64 LibreOffice_project/620$Build-3</Application>
  <AppVersion>15.0000</AppVersion>
  <Pages>2</Pages>
  <Words>60</Words>
  <Characters>366</Characters>
  <CharactersWithSpaces>396</CharactersWithSpaces>
  <Paragraphs>30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SII 38.28A: original edition by S. Swaminathan</dc:title>
  <dc:creator>Renato Dávalos</dc:creator>
  <cp:keywords/>
  <dcterms:created xsi:type="dcterms:W3CDTF">2026-10-26T21:54:46Z</dcterms:created>
  <dcterms:modified xsi:type="dcterms:W3CDTF">2026-10-26T21:54:46Z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