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SII 32, part 2, no. 101: original edition by S. Swaminathan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Alternative title: No. 101. (A.R. No. 419 of 1993.) GŌPURAPAṬṬI, LALGUDI TALUK, TIRUCHIRAPPALLI DISTRICT</w:t>
      </w:r>
    </w:p>
    <w:p>
      <w:pPr>
        <w:pStyle w:val="BodyText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DHARMA_INSSIIv32p2i0101</w:t>
      </w:r>
    </w:p>
    <w:p>
      <w:pPr>
        <w:pStyle w:val="BodyText"/>
      </w:pPr>
      <w:r>
        <w:t xml:space="preserve">Repository: SII original (south-indian-inscriptions)</w:t>
      </w:r>
    </w:p>
    <w:p>
      <w:pPr>
        <w:pStyle w:val="BodyText"/>
      </w:pPr>
      <w:r>
        <w:t xml:space="preserve">File path: SII_B_clean/SII32/DHARMA_INSSIIv32p2i0101.xml</w:t>
      </w:r>
    </w:p>
    <w:p>
      <w:pPr>
        <w:pStyle w:val="BodyText"/>
      </w:pPr>
      <w:r>
        <w:t xml:space="preserve">Language: Tamil [Grantha, Tamil]</w:t>
      </w:r>
    </w:p>
    <w:p>
      <w:pPr>
        <w:pStyle w:val="BodyText"/>
      </w:pPr>
      <w:r>
        <w:t xml:space="preserve">Commit: 2026-10-21 12:21 (1e9deb1), last modified 2026-09-29 11:08 (2b36d53)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On the east wall, central shrine, Avanisundarēśvara temple.</w:t>
      </w:r>
    </w:p>
    <w:p>
      <w:pPr>
        <w:pStyle w:val="BodyText"/>
      </w:pPr>
      <w:r>
        <w:rPr>
          <w:b/>
          <w:bCs/>
        </w:rPr>
        <w:t xml:space="preserve">Year 12: 983 A.D.</w:t>
      </w:r>
    </w:p>
    <w:p>
      <w:pPr>
        <w:pStyle w:val="BodyText"/>
      </w:pPr>
      <w:r>
        <w:t xml:space="preserve">Incomplete records the gift of 5 lamp-stands by Sembiyaṉ-mahādēviyār, the queen of Gaṇḍarāditta-perumāṉ, to Mahādēva of Tiru-Avanīśvaram at Pāchchil in Maḻa-nāḍu.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b/>
          <w:bCs/>
        </w:rPr>
        <w:t xml:space="preserve">svasti śrī</w:t>
      </w:r>
      <w:r>
        <w:t xml:space="preserve"> </w:t>
      </w:r>
      <w:r>
        <w:t xml:space="preserve">[∥] kopparakecaripaṉmaṟku yāṇṭu 10 2 Āvatu maḻanāṭṭup pāccil tiruAvani</w:t>
      </w:r>
      <w:r>
        <w:rPr>
          <w:b/>
          <w:bCs/>
        </w:rPr>
        <w:t xml:space="preserve">śva</w:t>
      </w:r>
      <w:r>
        <w:t xml:space="preserve">rattu</w:t>
      </w:r>
      <w:r>
        <w:t xml:space="preserve"> </w:t>
      </w:r>
      <w:r>
        <w:rPr>
          <w:b/>
          <w:bCs/>
        </w:rPr>
        <w:t xml:space="preserve">mahāde</w:t>
      </w:r>
      <w:r>
        <w:t xml:space="preserve">vaṟku kaṇṭarātittaperumāṉ teviyār cempiyaṉ</w:t>
      </w:r>
      <w:r>
        <w:rPr>
          <w:b/>
          <w:bCs/>
        </w:rPr>
        <w:t xml:space="preserve">mahā</w:t>
      </w:r>
      <w:r>
        <w:t xml:space="preserve">tevi(yār)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vaitta tarā nilaiviḷakkoṉṟu niṟai muṉṉūṟṟu muppattu ⟨⟨nālu⟩⟩ niṟai maru nūṟṟu nāṟpatu nilaiviḷakkonṟu niṟai nū⟨ṟ⟩ṟu toṇṇūṟu nilai vi</w:t>
      </w:r>
      <w:r>
        <w:rPr>
          <w:rStyle w:val="ColorGray"/>
        </w:rPr>
        <w:t xml:space="preserve">⟨3⟩</w:t>
      </w:r>
      <w:r>
        <w:t xml:space="preserve">ḷakkoṉṟu ni(ṟ)ai nūṟṟu toṇṇūṟu nilaiviḷakkoṉṟu (ni)ṟai nūṟṟu toṇṇūṟu Ā⟨ka⟩ nilaiviḷakku 2 10 5 Añcu cant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tiṟṟa</w:t>
      </w:r>
    </w:p>
    <w:p>
      <w:pPr>
        <w:pStyle w:val="Heading1"/>
      </w:pPr>
      <w:r>
        <w:t xml:space="preserve">Commentary</w:t>
      </w:r>
    </w:p>
    <w:p>
      <w:pPr>
        <w:pStyle w:val="FirstParagraph"/>
      </w:pPr>
      <w:r>
        <w:rPr>
          <w:rStyle w:val="ColorGray"/>
        </w:rPr>
        <w:t xml:space="preserve">⟨3⟩</w:t>
      </w:r>
      <w:r>
        <w:t xml:space="preserve"> </w:t>
      </w:r>
      <w:r>
        <w:rPr>
          <w:i/>
          <w:iCs/>
        </w:rPr>
        <w:t xml:space="preserve">cant</w:t>
      </w:r>
      <w:r>
        <w:rPr>
          <w:rStyle w:val="ColorRed"/>
          <w:i/>
          <w:iCs/>
        </w:rPr>
        <w:t xml:space="preserve">¿a?</w:t>
      </w:r>
      <w:r>
        <w:rPr>
          <w:rStyle w:val="ColorGreen"/>
          <w:i/>
          <w:iCs/>
        </w:rPr>
        <w:t xml:space="preserve">⟨ā⟩</w:t>
      </w:r>
      <w:r>
        <w:rPr>
          <w:i/>
          <w:iCs/>
        </w:rPr>
        <w:t xml:space="preserve">tiṟṟa</w:t>
      </w:r>
      <w:r>
        <w:t xml:space="preserve">. Damaged.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Digital edition of SII 32, part 2, no. 101 by Swaminathan 2012 converted to DHARMA conventions by Emmanuel Francis.</w:t>
      </w:r>
    </w:p>
    <w:p>
      <w:pPr>
        <w:pStyle w:val="BodyText"/>
      </w:pPr>
      <w:r>
        <w:t xml:space="preserve">See also edition by Nicolas Cane (</w:t>
      </w:r>
      <w:hyperlink r:id="rId9">
        <w:r>
          <w:rPr>
            <w:rStyle w:val="Hyperlink"/>
          </w:rPr>
          <w:t xml:space="preserve">CMT 9</w:t>
        </w:r>
      </w:hyperlink>
      <w:r>
        <w:t xml:space="preserve">).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[SII]</w:t>
      </w:r>
      <w:r>
        <w:t xml:space="preserve"> </w:t>
      </w:r>
      <w:r>
        <w:t xml:space="preserve">Swaminathan, S. 2012.</w:t>
      </w:r>
      <w:r>
        <w:t xml:space="preserve"> </w:t>
      </w:r>
      <w:r>
        <w:rPr>
          <w:i/>
          <w:iCs/>
        </w:rPr>
        <w:t xml:space="preserve">South Indian inscriptions. Volume XXXII: inscriptions of the early Chola kings upto Uttama Chola</w:t>
      </w:r>
      <w:r>
        <w:t xml:space="preserve">. South Indian Inscriptions 32. New Delhi: Archaeological survey of India (Director General). Pages 216–217, item 101.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harmalekha.info/texts/INSCempiyanMahadevi0000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harmalekha.info/texts/INSCempiyanMahadevi00009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SII 32, part 2, no. 101: original edition by S. Swaminathan</dc:title>
  <dc:creator>Emmanuel Francis</dc:creator>
  <cp:keywords/>
  <dcterms:created xsi:type="dcterms:W3CDTF">2026-10-26T19:53:14Z</dcterms:created>
  <dcterms:modified xsi:type="dcterms:W3CDTF">2026-10-26T19:53:14Z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