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14.10: original edition by A. S. Ramanatha Ayyar</w:t>
      </w:r>
    </w:p>
    <w:p>
      <w:pPr>
        <w:pStyle w:val="Author"/>
      </w:pPr>
      <w:r>
        <w:t xml:space="preserve">Emmanuel Francis</w:t>
      </w:r>
    </w:p>
    <w:p>
      <w:pPr>
        <w:pStyle w:val="FirstParagraph"/>
      </w:pPr>
      <w:r>
        <w:t xml:space="preserve">Alternative title: No. 10. (A.R. No. 414 of 1904.) TIRUCHCHIRĀPPAḶḶI, TIRUCHCHIRAPPALLI TALUK, TIRUCHIRAPPALLI DISTRICT. ON THE WALL OF THE ROCK-CUT CAVE</w:t>
      </w:r>
    </w:p>
    <w:p>
      <w:pPr>
        <w:pStyle w:val="BodyText"/>
      </w:pPr>
      <w:r>
        <w:t xml:space="preserve">Author of digital edition: Emmanuel Francis</w:t>
      </w:r>
    </w:p>
    <w:p>
      <w:pPr>
        <w:pStyle w:val="BodyText"/>
      </w:pPr>
      <w:r>
        <w:t xml:space="preserve">Identifier: DHARMA_INSSIIv14p1i0010</w:t>
      </w:r>
    </w:p>
    <w:p>
      <w:pPr>
        <w:pStyle w:val="BodyText"/>
      </w:pPr>
      <w:r>
        <w:t xml:space="preserve">Repository: SII original (south-indian-inscriptions)</w:t>
      </w:r>
    </w:p>
    <w:p>
      <w:pPr>
        <w:pStyle w:val="BodyText"/>
      </w:pPr>
      <w:r>
        <w:t xml:space="preserve">File path: SII_B_clean/SII14/DHARMA_INSSIIv14p1i0010.xml</w:t>
      </w:r>
    </w:p>
    <w:p>
      <w:pPr>
        <w:pStyle w:val="BodyText"/>
      </w:pPr>
      <w:r>
        <w:t xml:space="preserve">Languages: Sanskrit [Grantha], Tamil [Grantha, Tamil]</w:t>
      </w:r>
    </w:p>
    <w:p>
      <w:pPr>
        <w:pStyle w:val="BodyText"/>
      </w:pPr>
      <w:r>
        <w:t xml:space="preserve">Commit: 2026-10-21 12:21 (1e9deb1), last modified 2026-09-29 11:08 (2b36d53)</w:t>
      </w:r>
    </w:p>
    <w:p>
      <w:pPr>
        <w:pStyle w:val="Heading1"/>
      </w:pPr>
      <w:r>
        <w:t xml:space="preserve">Summary</w:t>
      </w:r>
    </w:p>
    <w:p>
      <w:pPr>
        <w:pStyle w:val="FirstParagraph"/>
      </w:pPr>
      <w:r>
        <w:t xml:space="preserve">This interesting inscription engraved in the Pallava rock-cut cave-temple on the hill at Tiruchchirāppaḷḷi is dated in the 4th year and 2,501st day of the reign of king</w:t>
      </w:r>
      <w:r>
        <w:t xml:space="preserve"> </w:t>
      </w:r>
      <w:r>
        <w:rPr>
          <w:b/>
          <w:bCs/>
        </w:rPr>
        <w:t xml:space="preserve">Māṟañjaḍaiyaṉ</w:t>
      </w:r>
      <w:r>
        <w:t xml:space="preserve">, who is also called</w:t>
      </w:r>
      <w:r>
        <w:t xml:space="preserve"> </w:t>
      </w:r>
      <w:r>
        <w:rPr>
          <w:b/>
          <w:bCs/>
        </w:rPr>
        <w:t xml:space="preserve">Pāṇḍyādhirāja</w:t>
      </w:r>
      <w:r>
        <w:t xml:space="preserve"> </w:t>
      </w:r>
      <w:r>
        <w:t xml:space="preserve">Varaguṇa[varman]. Having destroyed the fort at Vembil (i.e., Vēmbaṟṟūr near Kumbakōṇam), the king was staying at Niyamam at the time of the issue of this record. He is described as an ornament of both the solar and lunar dynasties, probably because of an earlier marital alliance between the Chōḷa (solar) and the Pāṇḍya (lu2nar) ruling families. The king is stated to have made a gift of 125</w:t>
      </w:r>
      <w:r>
        <w:t xml:space="preserve"> </w:t>
      </w:r>
      <w:r>
        <w:rPr>
          <w:i/>
          <w:iCs/>
        </w:rPr>
        <w:t xml:space="preserve">kaḻañju</w:t>
      </w:r>
      <w:r>
        <w:t xml:space="preserve"> </w:t>
      </w:r>
      <w:r>
        <w:t xml:space="preserve">of gold to the temple of Tirumalai-Bhaṭāra, by which the</w:t>
      </w:r>
      <w:r>
        <w:t xml:space="preserve"> </w:t>
      </w:r>
      <w:r>
        <w:rPr>
          <w:i/>
          <w:iCs/>
        </w:rPr>
        <w:t xml:space="preserve">liṅga</w:t>
      </w:r>
      <w:r>
        <w:t xml:space="preserve"> </w:t>
      </w:r>
      <w:r>
        <w:t xml:space="preserve">in the rock-cut cave is evidently meant. From the fact that provision was made for burning five lamps in this temple on the day of Ārdrā every month, it is probable that Ārdrā was the natal star of this king.</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svasti śrī [∥]</w:t>
      </w:r>
    </w:p>
    <w:p>
      <w:pPr>
        <w:pStyle w:val="BodyText"/>
      </w:pPr>
      <w:r>
        <w:t xml:space="preserve">ka</w:t>
      </w:r>
      <w:r>
        <w:rPr>
          <w:rStyle w:val="ColorGray"/>
        </w:rPr>
        <w:t xml:space="preserve">⟨2⟩</w:t>
      </w:r>
      <w:r>
        <w:t xml:space="preserve">lpādāya hutāśa dhū</w:t>
      </w:r>
      <w:r>
        <w:rPr>
          <w:rStyle w:val="ColorGray"/>
        </w:rPr>
        <w:t xml:space="preserve">⟨3⟩</w:t>
      </w:r>
      <w:r>
        <w:t xml:space="preserve">mapaṭala krūraM viṣa(M) līla</w:t>
      </w:r>
      <w:r>
        <w:rPr>
          <w:rStyle w:val="ColorGray"/>
        </w:rPr>
        <w:t xml:space="preserve">⟨4⟩</w:t>
      </w:r>
      <w:r>
        <w:t xml:space="preserve">yā kaṇṭhe yaḥ kalayāMbabhūva (vi)</w:t>
      </w:r>
      <w:r>
        <w:rPr>
          <w:rStyle w:val="ColorGray"/>
        </w:rPr>
        <w:t xml:space="preserve">⟨5⟩</w:t>
      </w:r>
      <w:r>
        <w:t xml:space="preserve">budhai (r)bibhya</w:t>
      </w:r>
      <w:r>
        <w:rPr>
          <w:rStyle w:val="ColorRed"/>
        </w:rPr>
        <w:t xml:space="preserve">¿t?</w:t>
      </w:r>
      <w:r>
        <w:rPr>
          <w:rStyle w:val="ColorGreen"/>
        </w:rPr>
        <w:t xml:space="preserve">⟨d⟩</w:t>
      </w:r>
      <w:r>
        <w:t xml:space="preserve">bhira</w:t>
      </w:r>
      <w:r>
        <w:rPr>
          <w:b/>
          <w:bCs/>
        </w:rPr>
        <w:t xml:space="preserve">bhya(r)tthi</w:t>
      </w:r>
      <w:r>
        <w:t xml:space="preserve">taḥ [|] ya(stā)</w:t>
      </w:r>
      <w:r>
        <w:rPr>
          <w:rStyle w:val="ColorGray"/>
        </w:rPr>
        <w:t xml:space="preserve">⟨6⟩</w:t>
      </w:r>
      <w:r>
        <w:t xml:space="preserve">(r)ṇīriva nirddadāha vitatīśśuṣkāḥ purī</w:t>
      </w:r>
      <w:r>
        <w:rPr>
          <w:rStyle w:val="ColorGray"/>
        </w:rPr>
        <w:t xml:space="preserve">⟨7⟩</w:t>
      </w:r>
      <w:r>
        <w:t xml:space="preserve">rāsurīryyaścākṣijvalane juhāva</w:t>
      </w:r>
      <w:r>
        <w:rPr>
          <w:rStyle w:val="ColorGray"/>
        </w:rPr>
        <w:t xml:space="preserve"> </w:t>
      </w:r>
      <w:r>
        <w:rPr>
          <w:rStyle w:val="ColorGray"/>
        </w:rPr>
        <w:t xml:space="preserve">⟨8⟩</w:t>
      </w:r>
      <w:r>
        <w:rPr>
          <w:rStyle w:val="ColorGray"/>
        </w:rPr>
        <w:t xml:space="preserve"> </w:t>
      </w:r>
      <w:r>
        <w:t xml:space="preserve">madanaM pāyādapāyātsavaḥ [∥]</w:t>
      </w:r>
    </w:p>
    <w:p>
      <w:pPr>
        <w:pStyle w:val="BodyText"/>
      </w:pPr>
      <w:r>
        <w:t xml:space="preserve">komāṟa(ñ)</w:t>
      </w:r>
      <w:r>
        <w:rPr>
          <w:rStyle w:val="ColorGray"/>
        </w:rPr>
        <w:t xml:space="preserve"> </w:t>
      </w:r>
      <w:r>
        <w:rPr>
          <w:rStyle w:val="ColorGray"/>
        </w:rPr>
        <w:t xml:space="preserve">⟨9⟩</w:t>
      </w:r>
      <w:r>
        <w:rPr>
          <w:rStyle w:val="ColorGray"/>
        </w:rPr>
        <w:t xml:space="preserve"> </w:t>
      </w:r>
      <w:r>
        <w:t xml:space="preserve">ca(ṭ)aiyaṟku yāṇṭu nāṉku nāḷ</w:t>
      </w:r>
      <w:r>
        <w:t xml:space="preserve"> </w:t>
      </w:r>
      <w:r>
        <w:rPr>
          <w:rStyle w:val="ColorRed"/>
        </w:rPr>
        <w:t xml:space="preserve">¿I?</w:t>
      </w:r>
      <w:r>
        <w:rPr>
          <w:rStyle w:val="ColorGreen"/>
        </w:rPr>
        <w:t xml:space="preserve">⟨Ī⟩</w:t>
      </w:r>
      <w:r>
        <w:t xml:space="preserve">(rā)</w:t>
      </w:r>
      <w:r>
        <w:rPr>
          <w:rStyle w:val="ColorGray"/>
        </w:rPr>
        <w:t xml:space="preserve">⟨10⟩</w:t>
      </w:r>
      <w:r>
        <w:t xml:space="preserve">yirattainnūṟṟoṉṟu vempil mati(ḷa)</w:t>
      </w:r>
      <w:r>
        <w:rPr>
          <w:rStyle w:val="ColorGray"/>
        </w:rPr>
        <w:t xml:space="preserve">⟨11⟩</w:t>
      </w:r>
      <w:r>
        <w:t xml:space="preserve">ḻittuppontu niyamattiruntaruḷi</w:t>
      </w:r>
      <w:r>
        <w:t xml:space="preserve"> </w:t>
      </w:r>
      <w:r>
        <w:rPr>
          <w:b/>
          <w:bCs/>
        </w:rPr>
        <w:t xml:space="preserve">(so)</w:t>
      </w:r>
      <w:r>
        <w:rPr>
          <w:rStyle w:val="ColorGray"/>
        </w:rPr>
        <w:t xml:space="preserve">⟨12⟩</w:t>
      </w:r>
      <w:r>
        <w:rPr>
          <w:b/>
          <w:bCs/>
        </w:rPr>
        <w:t xml:space="preserve">masūryyānva</w:t>
      </w:r>
      <w:r>
        <w:t xml:space="preserve">ya</w:t>
      </w:r>
      <w:r>
        <w:rPr>
          <w:b/>
          <w:bCs/>
        </w:rPr>
        <w:t xml:space="preserve">dva</w:t>
      </w:r>
      <w:r>
        <w:t xml:space="preserve">ya</w:t>
      </w:r>
      <w:r>
        <w:t xml:space="preserve"> </w:t>
      </w:r>
      <w:r>
        <w:rPr>
          <w:b/>
          <w:bCs/>
        </w:rPr>
        <w:t xml:space="preserve">tilakāraṁ</w:t>
      </w:r>
      <w:r>
        <w:rPr>
          <w:rStyle w:val="ColorRed"/>
          <w:b/>
          <w:bCs/>
        </w:rPr>
        <w:t xml:space="preserve">¿g?</w:t>
      </w:r>
      <w:r>
        <w:rPr>
          <w:rStyle w:val="ColorGreen"/>
          <w:b/>
          <w:bCs/>
        </w:rPr>
        <w:t xml:space="preserve">⟨k⟩</w:t>
      </w:r>
      <w:r>
        <w:rPr>
          <w:b/>
          <w:bCs/>
        </w:rPr>
        <w:t xml:space="preserve">ārarā</w:t>
      </w:r>
      <w:r>
        <w:rPr>
          <w:b/>
          <w:bCs/>
        </w:rPr>
        <w:t xml:space="preserve">yi</w:t>
      </w:r>
      <w:r>
        <w:t xml:space="preserve">na</w:t>
      </w:r>
      <w:r>
        <w:t xml:space="preserve"> </w:t>
      </w:r>
      <w:r>
        <w:rPr>
          <w:b/>
          <w:bCs/>
        </w:rPr>
        <w:t xml:space="preserve">(pā)</w:t>
      </w:r>
      <w:r>
        <w:rPr>
          <w:rStyle w:val="ColorGray"/>
        </w:rPr>
        <w:t xml:space="preserve"> </w:t>
      </w:r>
      <w:r>
        <w:rPr>
          <w:rStyle w:val="ColorGray"/>
        </w:rPr>
        <w:t xml:space="preserve">⟨13⟩</w:t>
      </w:r>
      <w:r>
        <w:rPr>
          <w:rStyle w:val="ColorGray"/>
        </w:rPr>
        <w:t xml:space="preserve"> </w:t>
      </w:r>
      <w:r>
        <w:rPr>
          <w:b/>
          <w:bCs/>
        </w:rPr>
        <w:t xml:space="preserve">ñjyādhirājar varagu</w:t>
      </w:r>
      <w:r>
        <w:t xml:space="preserve">ṇa</w:t>
      </w:r>
      <w:r>
        <w:t xml:space="preserve"> </w:t>
      </w:r>
      <w:r>
        <w:rPr>
          <w:b/>
          <w:bCs/>
        </w:rPr>
        <w:t xml:space="preserve">de</w:t>
      </w:r>
      <w:r>
        <w:t xml:space="preserve">va</w:t>
      </w:r>
      <w:r>
        <w:rPr>
          <w:b/>
          <w:bCs/>
        </w:rPr>
        <w:t xml:space="preserve">r</w:t>
      </w:r>
      <w:r>
        <w:t xml:space="preserve"> </w:t>
      </w:r>
      <w:r>
        <w:t xml:space="preserve">tiruma(lai)</w:t>
      </w:r>
      <w:r>
        <w:t xml:space="preserve"> </w:t>
      </w:r>
      <w:r>
        <w:rPr>
          <w:b/>
          <w:bCs/>
        </w:rPr>
        <w:t xml:space="preserve">bha</w:t>
      </w:r>
      <w:r>
        <w:t xml:space="preserve">ṭā</w:t>
      </w:r>
      <w:r>
        <w:rPr>
          <w:b/>
          <w:bCs/>
        </w:rPr>
        <w:t xml:space="preserve">ra</w:t>
      </w:r>
      <w:r>
        <w:t xml:space="preserve">(rk)</w:t>
      </w:r>
      <w:r>
        <w:rPr>
          <w:rStyle w:val="ColorGray"/>
        </w:rPr>
        <w:t xml:space="preserve">⟨14⟩</w:t>
      </w:r>
      <w:r>
        <w:t xml:space="preserve">kukkuṭutta poṉ pāṭikkallāl 100 2 10 5 &lt;kaḻañcu&gt; nūṟ(ṟi)</w:t>
      </w:r>
      <w:r>
        <w:rPr>
          <w:rStyle w:val="ColorGray"/>
        </w:rPr>
        <w:t xml:space="preserve"> </w:t>
      </w:r>
      <w:r>
        <w:rPr>
          <w:rStyle w:val="ColorGray"/>
        </w:rPr>
        <w:t xml:space="preserve">⟨15⟩</w:t>
      </w:r>
      <w:r>
        <w:rPr>
          <w:rStyle w:val="ColorGray"/>
        </w:rPr>
        <w:t xml:space="preserve"> </w:t>
      </w:r>
      <w:r>
        <w:t xml:space="preserve">rupattaiṅkaḻañcum Ippoṉ mutaṉiṟka</w:t>
      </w:r>
      <w:r>
        <w:rPr>
          <w:rStyle w:val="ColorGray"/>
        </w:rPr>
        <w:t xml:space="preserve"> </w:t>
      </w:r>
      <w:r>
        <w:rPr>
          <w:rStyle w:val="ColorGray"/>
        </w:rPr>
        <w:t xml:space="preserve">⟨16⟩</w:t>
      </w:r>
      <w:r>
        <w:rPr>
          <w:rStyle w:val="ColorGray"/>
        </w:rPr>
        <w:t xml:space="preserve"> </w:t>
      </w:r>
      <w:r>
        <w:t xml:space="preserve">polikoṇṭu muppatiṉ kaḻañcu poṉṉiṉ</w:t>
      </w:r>
      <w:r>
        <w:rPr>
          <w:rStyle w:val="ColorGray"/>
        </w:rPr>
        <w:t xml:space="preserve"> </w:t>
      </w:r>
      <w:r>
        <w:rPr>
          <w:rStyle w:val="ColorGray"/>
        </w:rPr>
        <w:t xml:space="preserve">⟨17⟩</w:t>
      </w:r>
      <w:r>
        <w:rPr>
          <w:rStyle w:val="ColorGray"/>
        </w:rPr>
        <w:t xml:space="preserve"> </w:t>
      </w:r>
      <w:r>
        <w:t xml:space="preserve">poliyāl Oru nontā viḷakkāka nūṟṟiru</w:t>
      </w:r>
      <w:r>
        <w:rPr>
          <w:rStyle w:val="ColorGray"/>
        </w:rPr>
        <w:t xml:space="preserve">⟨18⟩</w:t>
      </w:r>
      <w:r>
        <w:t xml:space="preserve">patiṉ kaḻañcu poṉṉāl nālu non</w:t>
      </w:r>
      <w:r>
        <w:rPr>
          <w:rStyle w:val="ColorGray"/>
        </w:rPr>
        <w:t xml:space="preserve"> </w:t>
      </w:r>
      <w:r>
        <w:rPr>
          <w:rStyle w:val="ColorGray"/>
        </w:rPr>
        <w:t xml:space="preserve">⟨19⟩</w:t>
      </w:r>
      <w:r>
        <w:rPr>
          <w:rStyle w:val="ColorGray"/>
        </w:rPr>
        <w:t xml:space="preserve"> </w:t>
      </w:r>
      <w:r>
        <w:t xml:space="preserve">tāviḷakkeriyak kāṇa nāḻiyāl nicati Aṭṭakka</w:t>
      </w:r>
      <w:r>
        <w:rPr>
          <w:rStyle w:val="ColorGray"/>
        </w:rPr>
        <w:t xml:space="preserve"> </w:t>
      </w:r>
      <w:r>
        <w:rPr>
          <w:rStyle w:val="ColorGray"/>
        </w:rPr>
        <w:t xml:space="preserve">⟨20⟩</w:t>
      </w:r>
      <w:r>
        <w:rPr>
          <w:rStyle w:val="ColorGray"/>
        </w:rPr>
        <w:t xml:space="preserve"> </w:t>
      </w:r>
      <w:r>
        <w:t xml:space="preserve">ṭava ney Irunāḻi [|] niṉṟa Aiṅkaḻañcu po</w:t>
      </w:r>
      <w:r>
        <w:rPr>
          <w:rStyle w:val="ColorGray"/>
        </w:rPr>
        <w:t xml:space="preserve">⟨21⟩</w:t>
      </w:r>
      <w:r>
        <w:t xml:space="preserve">ṉṉālun tiṅkaṭoṟum tiṅkaṭ ṭiruvāti</w:t>
      </w:r>
      <w:r>
        <w:rPr>
          <w:rStyle w:val="ColorGray"/>
        </w:rPr>
        <w:t xml:space="preserve">⟨22⟩</w:t>
      </w:r>
      <w:r>
        <w:t xml:space="preserve">raināṉ ṟavvirāppularumaḷavum Aintu</w:t>
      </w:r>
      <w:r>
        <w:rPr>
          <w:rStyle w:val="ColorGray"/>
        </w:rPr>
        <w:t xml:space="preserve"> </w:t>
      </w:r>
      <w:r>
        <w:rPr>
          <w:rStyle w:val="ColorGray"/>
        </w:rPr>
        <w:t xml:space="preserve">⟨23⟩</w:t>
      </w:r>
      <w:r>
        <w:rPr>
          <w:rStyle w:val="ColorGray"/>
        </w:rPr>
        <w:t xml:space="preserve"> </w:t>
      </w:r>
      <w:r>
        <w:t xml:space="preserve">viḷakkeriya Aṭṭakkaṭava ney Iru nāḻi U</w:t>
      </w:r>
      <w:r>
        <w:rPr>
          <w:rStyle w:val="ColorGray"/>
        </w:rPr>
        <w:t xml:space="preserve">⟨24⟩</w:t>
      </w:r>
      <w:r>
        <w:t xml:space="preserve">ri [|] Ivvoṭṭiṉa</w:t>
      </w:r>
      <w:r>
        <w:t xml:space="preserve"> </w:t>
      </w:r>
      <w:r>
        <w:rPr>
          <w:b/>
          <w:bCs/>
        </w:rPr>
        <w:t xml:space="preserve">pa</w:t>
      </w:r>
      <w:r>
        <w:t xml:space="preserve">ricu ney Aṭṭi Itti</w:t>
      </w:r>
      <w:r>
        <w:rPr>
          <w:rStyle w:val="ColorGray"/>
        </w:rPr>
        <w:t xml:space="preserve">⟨25⟩</w:t>
      </w:r>
      <w:r>
        <w:t xml:space="preserve">ru viḷakkerippāṉ Ippoṉ nūṟṟirupattai</w:t>
      </w:r>
      <w:r>
        <w:rPr>
          <w:rStyle w:val="ColorGray"/>
        </w:rPr>
        <w:t xml:space="preserve"> </w:t>
      </w:r>
      <w:r>
        <w:rPr>
          <w:rStyle w:val="ColorGray"/>
        </w:rPr>
        <w:t xml:space="preserve">⟨26⟩</w:t>
      </w:r>
      <w:r>
        <w:rPr>
          <w:rStyle w:val="ColorGray"/>
        </w:rPr>
        <w:t xml:space="preserve"> </w:t>
      </w:r>
      <w:r>
        <w:t xml:space="preserve">ṅkaḻañcuṅ koṇṭom ciṟṟampar naka⟨rat⟩</w:t>
      </w:r>
      <w:r>
        <w:rPr>
          <w:rStyle w:val="ColorGray"/>
        </w:rPr>
        <w:t xml:space="preserve"> </w:t>
      </w:r>
      <w:r>
        <w:rPr>
          <w:rStyle w:val="ColorGray"/>
        </w:rPr>
        <w:t xml:space="preserve">⟨27⟩</w:t>
      </w:r>
      <w:r>
        <w:rPr>
          <w:rStyle w:val="ColorGray"/>
        </w:rPr>
        <w:t xml:space="preserve"> </w:t>
      </w:r>
      <w:r>
        <w:t xml:space="preserve">tom [|] Ivvoṭṭiṉa paricu ney Aṭṭuvip⟨pa⟩</w:t>
      </w:r>
      <w:r>
        <w:rPr>
          <w:rStyle w:val="ColorGray"/>
        </w:rPr>
        <w:t xml:space="preserve"> </w:t>
      </w:r>
      <w:r>
        <w:rPr>
          <w:rStyle w:val="ColorGray"/>
        </w:rPr>
        <w:t xml:space="preserve">⟨28⟩</w:t>
      </w:r>
      <w:r>
        <w:rPr>
          <w:rStyle w:val="ColorGray"/>
        </w:rPr>
        <w:t xml:space="preserve"> </w:t>
      </w:r>
      <w:r>
        <w:t xml:space="preserve">taṟku Amaintu pu</w:t>
      </w:r>
      <w:r>
        <w:rPr>
          <w:b/>
          <w:bCs/>
        </w:rPr>
        <w:t xml:space="preserve">ṇai</w:t>
      </w:r>
      <w:r>
        <w:t xml:space="preserve">ppaṭṭom ciṟṟampar ⟨pa⟩</w:t>
      </w:r>
      <w:r>
        <w:rPr>
          <w:rStyle w:val="ColorGray"/>
        </w:rPr>
        <w:t xml:space="preserve"> </w:t>
      </w:r>
      <w:r>
        <w:rPr>
          <w:rStyle w:val="ColorGray"/>
        </w:rPr>
        <w:t xml:space="preserve">⟨29⟩</w:t>
      </w:r>
      <w:r>
        <w:rPr>
          <w:rStyle w:val="ColorGray"/>
        </w:rPr>
        <w:t xml:space="preserve"> </w:t>
      </w:r>
      <w:r>
        <w:t xml:space="preserve">tiyum pātamulattomum [|] Itu</w:t>
      </w:r>
      <w:r>
        <w:t xml:space="preserve"> </w:t>
      </w:r>
      <w:r>
        <w:rPr>
          <w:b/>
          <w:bCs/>
        </w:rPr>
        <w:t xml:space="preserve">pa</w:t>
      </w:r>
      <w:r>
        <w:t xml:space="preserve">n</w:t>
      </w:r>
      <w:r>
        <w:rPr>
          <w:b/>
          <w:bCs/>
        </w:rPr>
        <w:t xml:space="preserve">māhe</w:t>
      </w:r>
      <w:r>
        <w:rPr>
          <w:rStyle w:val="ColorGray"/>
        </w:rPr>
        <w:t xml:space="preserve">⟨30⟩</w:t>
      </w:r>
      <w:r>
        <w:rPr>
          <w:b/>
          <w:bCs/>
        </w:rPr>
        <w:t xml:space="preserve">śvararū Irakṣai</w:t>
      </w:r>
      <w:r>
        <w:t xml:space="preserve"> </w:t>
      </w:r>
      <w:r>
        <w:t xml:space="preserve">[∥]</w:t>
      </w:r>
    </w:p>
    <w:p>
      <w:pPr>
        <w:pStyle w:val="Heading1"/>
      </w:pPr>
      <w:r>
        <w:t xml:space="preserve">Commentary</w:t>
      </w:r>
    </w:p>
    <w:p>
      <w:pPr>
        <w:pStyle w:val="FirstParagraph"/>
      </w:pPr>
      <w:r>
        <w:t xml:space="preserve">Published in</w:t>
      </w:r>
      <w:r>
        <w:t xml:space="preserve"> </w:t>
      </w:r>
      <w:r>
        <w:rPr>
          <w:i/>
          <w:iCs/>
        </w:rPr>
        <w:t xml:space="preserve">Archaeological Survey Report</w:t>
      </w:r>
      <w:r>
        <w:t xml:space="preserve"> </w:t>
      </w:r>
      <w:r>
        <w:t xml:space="preserve">for 1903-04, pp. 275-76.</w:t>
      </w:r>
    </w:p>
    <w:p>
      <w:pPr>
        <w:pStyle w:val="Heading1"/>
      </w:pPr>
      <w:r>
        <w:t xml:space="preserve">Bibliography</w:t>
      </w:r>
    </w:p>
    <w:p>
      <w:pPr>
        <w:pStyle w:val="FirstParagraph"/>
      </w:pPr>
      <w:r>
        <w:t xml:space="preserve">Digital edition of SII 14.10 (ARIE/1904-1905/A/1904/414) by Ramanatha Ayyar 1962 converted to DHARMA conventions by Emmanuel Francis.</w:t>
      </w:r>
    </w:p>
    <w:p>
      <w:pPr>
        <w:pStyle w:val="BodyText"/>
      </w:pPr>
      <w:r>
        <w:t xml:space="preserve">See also edition by Emmanuel Francis (</w:t>
      </w:r>
      <w:hyperlink r:id="rId9">
        <w:r>
          <w:rPr>
            <w:rStyle w:val="Hyperlink"/>
          </w:rPr>
          <w:t xml:space="preserve">INSPandya00010</w:t>
        </w:r>
      </w:hyperlink>
      <w:r>
        <w:t xml:space="preserve">).</w:t>
      </w:r>
    </w:p>
    <w:p>
      <w:pPr>
        <w:pStyle w:val="Heading2"/>
      </w:pPr>
      <w:r>
        <w:t xml:space="preserve">Primary</w:t>
      </w:r>
    </w:p>
    <w:p>
      <w:pPr>
        <w:pStyle w:val="FirstParagraph"/>
      </w:pPr>
      <w:r>
        <w:rPr>
          <w:b/>
          <w:bCs/>
        </w:rPr>
        <w:t xml:space="preserve">[SII]</w:t>
      </w:r>
      <w:r>
        <w:t xml:space="preserve"> </w:t>
      </w:r>
      <w:r>
        <w:t xml:space="preserve">Ramanatha Ayyar, A. S. 1962.</w:t>
      </w:r>
      <w:r>
        <w:t xml:space="preserve"> </w:t>
      </w:r>
      <w:r>
        <w:rPr>
          <w:i/>
          <w:iCs/>
        </w:rPr>
        <w:t xml:space="preserve">South Indian inscriptions. Volume XIV: The Pāṇḍyas</w:t>
      </w:r>
      <w:r>
        <w:t xml:space="preserve">. South Indian Inscriptions 14. Delhi: Archaeological survey of India (Manager of Publications). Page 6, item 10.</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texts/INSPandya00010"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texts/INSPandya00010"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14.10: original edition by A. S. Ramanatha Ayyar</dc:title>
  <dc:creator>Emmanuel Francis</dc:creator>
  <cp:keywords/>
  <dcterms:created xsi:type="dcterms:W3CDTF">2026-10-26T13:15:49Z</dcterms:created>
  <dcterms:modified xsi:type="dcterms:W3CDTF">2026-10-26T13:15:49Z</dcterms:modified>
</cp:coreProperties>
</file>

<file path=docProps/custom.xml><?xml version="1.0" encoding="utf-8"?>
<Properties xmlns="http://schemas.openxmlformats.org/officeDocument/2006/custom-properties" xmlns:vt="http://schemas.openxmlformats.org/officeDocument/2006/docPropsVTypes"/>
</file>