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3.120: original edition by H. Krishna Sastri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XIII.—INSCRIPTIONS OF RAJAKESARIVARMAN SUNDARACHOLA PARANTAKA II. No. 120.—IN THE SAME PLACE. No. 320 of 1907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DHARMA_INSSIIv03p0i0120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SII_B_clean/SII03/DHARMA_INSSIIv03p0i0120.xml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This is again a record of</w:t>
      </w:r>
      <w:r>
        <w:t xml:space="preserve"> </w:t>
      </w:r>
      <w:r>
        <w:rPr>
          <w:b/>
          <w:bCs/>
        </w:rPr>
        <w:t xml:space="preserve">Rājakēsarivarman</w:t>
      </w:r>
      <w:r>
        <w:t xml:space="preserve"> </w:t>
      </w:r>
      <w:r>
        <w:t xml:space="preserve">dated in the 4th year and must be attributed to</w:t>
      </w:r>
      <w:r>
        <w:t xml:space="preserve"> </w:t>
      </w:r>
      <w:r>
        <w:rPr>
          <w:b/>
          <w:bCs/>
        </w:rPr>
        <w:t xml:space="preserve">Parāntaka</w:t>
      </w:r>
      <w:r>
        <w:t xml:space="preserve"> </w:t>
      </w:r>
      <w:r>
        <w:t xml:space="preserve">II, since it mentions the General</w:t>
      </w:r>
      <w:r>
        <w:t xml:space="preserve"> </w:t>
      </w:r>
      <w:r>
        <w:rPr>
          <w:b/>
          <w:bCs/>
        </w:rPr>
        <w:t xml:space="preserve">Pirāntakaṉ Iruṅgōḷar</w:t>
      </w:r>
      <w:r>
        <w:t xml:space="preserve"> </w:t>
      </w:r>
      <w:r>
        <w:rPr>
          <w:i/>
          <w:iCs/>
        </w:rPr>
        <w:t xml:space="preserve">alias</w:t>
      </w:r>
      <w:r>
        <w:t xml:space="preserve"> </w:t>
      </w:r>
      <w:r>
        <w:rPr>
          <w:b/>
          <w:bCs/>
        </w:rPr>
        <w:t xml:space="preserve">Śiṟiyavēḷār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[∥] ko Irācake</w:t>
      </w:r>
      <w:r>
        <w:rPr>
          <w:b/>
          <w:bCs/>
        </w:rPr>
        <w:t xml:space="preserve">sa</w:t>
      </w:r>
      <w:r>
        <w:t xml:space="preserve">riva</w:t>
      </w:r>
      <w:r>
        <w:rPr>
          <w:b/>
          <w:bCs/>
        </w:rPr>
        <w:t xml:space="preserve">nma</w:t>
      </w:r>
      <w:r>
        <w:t xml:space="preserve">ṟku yāṇṭu 4 Āvatu vaṭakaraittevatāna</w:t>
      </w:r>
      <w:r>
        <w:rPr>
          <w:b/>
          <w:bCs/>
        </w:rPr>
        <w:t xml:space="preserve">brahma</w:t>
      </w:r>
      <w:r>
        <w:t xml:space="preserve">teyam Amaninārāyaṇaccatu</w:t>
      </w:r>
      <w:r>
        <w:rPr>
          <w:b/>
          <w:bCs/>
        </w:rPr>
        <w:t xml:space="preserve">rvve</w:t>
      </w:r>
      <w:r>
        <w:t xml:space="preserve">timaṅkalattu ti</w:t>
      </w:r>
      <w:r>
        <w:rPr>
          <w:rStyle w:val="ColorGray"/>
        </w:rPr>
        <w:t xml:space="preserve">⟨2⟩</w:t>
      </w:r>
      <w:r>
        <w:t xml:space="preserve">ruvicalūr perumāṉaṭikaḷukku pirāntakaṉ Iruṅkoḷarākiya ciṟiyaveḷar Uccampotu tiruvamutukku ca</w:t>
      </w:r>
      <w:r>
        <w:rPr>
          <w:b/>
          <w:bCs/>
        </w:rPr>
        <w:t xml:space="preserve">ndrādi</w:t>
      </w:r>
      <w:r>
        <w:t xml:space="preserve">t=ta</w:t>
      </w:r>
      <w:r>
        <w:rPr>
          <w:rStyle w:val="ColorGray"/>
        </w:rPr>
        <w:t xml:space="preserve">⟨3⟩</w:t>
      </w:r>
      <w:r>
        <w:t xml:space="preserve">vaṟ peruṅkuṟiperumakkaḷukku Īḻakka [1+] ṅkācu 100 3 10 kācu kuṭutta A</w:t>
      </w:r>
      <w:r>
        <w:rPr>
          <w:b/>
          <w:bCs/>
        </w:rPr>
        <w:t xml:space="preserve">de</w:t>
      </w:r>
      <w:r>
        <w:t xml:space="preserve">yañce(tu ku)ṭutta nilamā</w:t>
      </w:r>
      <w:r>
        <w:rPr>
          <w:rStyle w:val="ColorGray"/>
        </w:rPr>
        <w:t xml:space="preserve">⟨4⟩</w:t>
      </w:r>
      <w:r>
        <w:t xml:space="preserve">vatu tirunilakaṇṭaccerik kuñ(ca)pevil</w:t>
      </w:r>
      <w:r>
        <w:t xml:space="preserve"> </w:t>
      </w:r>
      <w:r>
        <w:rPr>
          <w:b/>
          <w:bCs/>
        </w:rPr>
        <w:t xml:space="preserve">bha</w:t>
      </w:r>
      <w:r>
        <w:t xml:space="preserve">vanan=ticatuppeti</w:t>
      </w:r>
      <w:r>
        <w:rPr>
          <w:b/>
          <w:bCs/>
        </w:rPr>
        <w:t xml:space="preserve">bha</w:t>
      </w:r>
      <w:r>
        <w:t xml:space="preserve">ṭṭacomāciyār (ca)tukkattu Iraṇ</w:t>
      </w:r>
      <w:r>
        <w:rPr>
          <w:rStyle w:val="ColorGray"/>
        </w:rPr>
        <w:t xml:space="preserve">⟨5⟩</w:t>
      </w:r>
      <w:r>
        <w:t xml:space="preserve">ṭām pāṭakam</w:t>
      </w:r>
      <w:r>
        <w:t xml:space="preserve"> </w:t>
      </w:r>
      <w:r>
        <w:rPr>
          <w:b/>
          <w:bCs/>
        </w:rPr>
        <w:t xml:space="preserve">śrī</w:t>
      </w:r>
      <w:r>
        <w:t xml:space="preserve">koyiliṉ mēlpakkattu E [3+] tta kaṇṭattu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kālum</w:t>
      </w:r>
      <w:r>
        <w:t xml:space="preserve"> </w:t>
      </w:r>
      <w:r>
        <w:rPr>
          <w:b/>
          <w:bCs/>
        </w:rPr>
        <w:t xml:space="preserve">śrīmādha</w:t>
      </w:r>
      <w:r>
        <w:t xml:space="preserve">varcceriyil nan=ti</w:t>
      </w:r>
      <w:r>
        <w:rPr>
          <w:b/>
          <w:bCs/>
        </w:rPr>
        <w:t xml:space="preserve">śvarabha</w:t>
      </w:r>
      <w:r>
        <w:t xml:space="preserve">ṭṭar Aṭṭa(ka)ttu nattakūṟu tiruvicalūr ŪrIrukkaiyil kāṇiyum Āka Ikkāle kāṇiyum can=tirāti⟨t⟩tavaṟ vaiccār (paṉ)</w:t>
      </w:r>
      <w:r>
        <w:rPr>
          <w:b/>
          <w:bCs/>
        </w:rPr>
        <w:t xml:space="preserve">m</w:t>
      </w:r>
      <w:r>
        <w:rPr>
          <w:rStyle w:val="ColorRed"/>
          <w:b/>
          <w:bCs/>
        </w:rPr>
        <w:t xml:space="preserve">¿a?</w:t>
      </w:r>
      <w:r>
        <w:rPr>
          <w:rStyle w:val="ColorGreen"/>
          <w:b/>
          <w:bCs/>
        </w:rPr>
        <w:t xml:space="preserve">⟨ā⟩</w:t>
      </w:r>
      <w:r>
        <w:rPr>
          <w:b/>
          <w:bCs/>
        </w:rPr>
        <w:t xml:space="preserve">he(śvararakṣai)</w:t>
      </w:r>
      <w:r>
        <w:t xml:space="preserve"> </w:t>
      </w:r>
      <w:r>
        <w:t xml:space="preserve">[∥]</w:t>
      </w:r>
    </w:p>
    <w:p>
      <w:pPr>
        <w:pStyle w:val="Heading1"/>
      </w:pPr>
      <w:r>
        <w:t xml:space="preserve">Translation by Krishna Sastri 1920</w:t>
      </w:r>
    </w:p>
    <w:p>
      <w:pPr>
        <w:pStyle w:val="FirstParagraph"/>
      </w:pPr>
      <w:r>
        <w:t xml:space="preserve">(Line 1.). Hail ! Prosperity ! In the 4th year of (</w:t>
      </w:r>
      <w:r>
        <w:rPr>
          <w:i/>
          <w:iCs/>
        </w:rPr>
        <w:t xml:space="preserve">the reign of</w:t>
      </w:r>
      <w:r>
        <w:t xml:space="preserve">) king</w:t>
      </w:r>
      <w:r>
        <w:t xml:space="preserve"> </w:t>
      </w:r>
      <w:r>
        <w:rPr>
          <w:b/>
          <w:bCs/>
        </w:rPr>
        <w:t xml:space="preserve">Rājakēsarivarman, Pirāntakaṉ Iruṅgōḷar</w:t>
      </w:r>
      <w:r>
        <w:t xml:space="preserve"> </w:t>
      </w:r>
      <w:r>
        <w:rPr>
          <w:i/>
          <w:iCs/>
        </w:rPr>
        <w:t xml:space="preserve">alias</w:t>
      </w:r>
      <w:r>
        <w:t xml:space="preserve"> </w:t>
      </w:r>
      <w:r>
        <w:rPr>
          <w:b/>
          <w:bCs/>
        </w:rPr>
        <w:t xml:space="preserve">Śiṟiyavēḷar</w:t>
      </w:r>
      <w:r>
        <w:t xml:space="preserve">, paid 130</w:t>
      </w:r>
      <w:r>
        <w:t xml:space="preserve"> </w:t>
      </w:r>
      <w:r>
        <w:rPr>
          <w:i/>
          <w:iCs/>
        </w:rPr>
        <w:t xml:space="preserve">īḻakkāśu</w:t>
      </w:r>
      <w:r>
        <w:t xml:space="preserve"> </w:t>
      </w:r>
      <w:r>
        <w:t xml:space="preserve">to the great men of the big assembly and gave, freed from payment (</w:t>
      </w:r>
      <w:r>
        <w:rPr>
          <w:i/>
          <w:iCs/>
        </w:rPr>
        <w:t xml:space="preserve">of taxes) (adēyam</w:t>
      </w:r>
      <w:r>
        <w:rPr>
          <w:rStyle w:val="FootnoteReference"/>
        </w:rPr>
        <w:footnoteReference w:id="9"/>
      </w:r>
      <w:r>
        <w:t xml:space="preserve"> </w:t>
      </w:r>
      <w:r>
        <w:t xml:space="preserve">) the following land for the sacred midday offerings to (</w:t>
      </w:r>
      <w:r>
        <w:rPr>
          <w:i/>
          <w:iCs/>
        </w:rPr>
        <w:t xml:space="preserve">the temple of</w:t>
      </w:r>
      <w:r>
        <w:t xml:space="preserve">) the god (</w:t>
      </w:r>
      <w:r>
        <w:rPr>
          <w:i/>
          <w:iCs/>
        </w:rPr>
        <w:t xml:space="preserve">perumāṉaḍigaḷ</w:t>
      </w:r>
      <w:r>
        <w:t xml:space="preserve">) at</w:t>
      </w:r>
      <w:r>
        <w:t xml:space="preserve"> </w:t>
      </w:r>
      <w:r>
        <w:rPr>
          <w:b/>
          <w:bCs/>
        </w:rPr>
        <w:t xml:space="preserve">Tiruviśalūr</w:t>
      </w:r>
      <w:r>
        <w:t xml:space="preserve"> </w:t>
      </w:r>
      <w:r>
        <w:t xml:space="preserve">in</w:t>
      </w:r>
      <w:r>
        <w:t xml:space="preserve"> </w:t>
      </w:r>
      <w:r>
        <w:rPr>
          <w:b/>
          <w:bCs/>
        </w:rPr>
        <w:t xml:space="preserve">Amaninārāyaṇa-chaturvēdimaṅgalam</w:t>
      </w:r>
      <w:r>
        <w:t xml:space="preserve">, a</w:t>
      </w:r>
      <w:r>
        <w:t xml:space="preserve"> </w:t>
      </w:r>
      <w:r>
        <w:rPr>
          <w:i/>
          <w:iCs/>
        </w:rPr>
        <w:t xml:space="preserve">dēvadāna</w:t>
      </w:r>
      <w:r>
        <w:t xml:space="preserve"> </w:t>
      </w:r>
      <w:r>
        <w:t xml:space="preserve">and a</w:t>
      </w:r>
      <w:r>
        <w:t xml:space="preserve"> </w:t>
      </w:r>
      <w:r>
        <w:rPr>
          <w:i/>
          <w:iCs/>
        </w:rPr>
        <w:t xml:space="preserve">brahamdēya</w:t>
      </w:r>
      <w:r>
        <w:t xml:space="preserve"> </w:t>
      </w:r>
      <w:r>
        <w:t xml:space="preserve">on the northern bank (</w:t>
      </w:r>
      <w:r>
        <w:rPr>
          <w:i/>
          <w:iCs/>
        </w:rPr>
        <w:t xml:space="preserve">of the Kāvērī), (to last</w:t>
      </w:r>
      <w:r>
        <w:t xml:space="preserve">) as long as the moon and the sun.</w:t>
      </w:r>
    </w:p>
    <w:p>
      <w:pPr>
        <w:pStyle w:val="BodyText"/>
      </w:pPr>
      <w:r>
        <w:t xml:space="preserve">(L. 4.) (One) quarter (</w:t>
      </w:r>
      <w:r>
        <w:rPr>
          <w:i/>
          <w:iCs/>
        </w:rPr>
        <w:t xml:space="preserve">vēli of land</w:t>
      </w:r>
      <w:r>
        <w:t xml:space="preserve">) . . . . .</w:t>
      </w:r>
      <w:r>
        <w:t xml:space="preserve"> </w:t>
      </w:r>
      <w:r>
        <w:rPr>
          <w:i/>
          <w:iCs/>
        </w:rPr>
        <w:t xml:space="preserve">kaṇḍam</w:t>
      </w:r>
      <w:r>
        <w:t xml:space="preserve"> </w:t>
      </w:r>
      <w:r>
        <w:t xml:space="preserve">on the western side of the sacred shrine (</w:t>
      </w:r>
      <w:r>
        <w:rPr>
          <w:i/>
          <w:iCs/>
        </w:rPr>
        <w:t xml:space="preserve">śrīkōyil), (forming</w:t>
      </w:r>
      <w:r>
        <w:t xml:space="preserve">) the second</w:t>
      </w:r>
      <w:r>
        <w:t xml:space="preserve"> </w:t>
      </w:r>
      <w:r>
        <w:rPr>
          <w:i/>
          <w:iCs/>
        </w:rPr>
        <w:t xml:space="preserve">pāḍagam</w:t>
      </w:r>
      <w:r>
        <w:t xml:space="preserve"> </w:t>
      </w:r>
      <w:r>
        <w:t xml:space="preserve">of the</w:t>
      </w:r>
      <w:r>
        <w:t xml:space="preserve"> </w:t>
      </w:r>
      <w:r>
        <w:rPr>
          <w:i/>
          <w:iCs/>
        </w:rPr>
        <w:t xml:space="preserve">śadukkam</w:t>
      </w:r>
      <w:r>
        <w:t xml:space="preserve"> </w:t>
      </w:r>
      <w:r>
        <w:t xml:space="preserve">of</w:t>
      </w:r>
      <w:r>
        <w:t xml:space="preserve"> </w:t>
      </w:r>
      <w:r>
        <w:rPr>
          <w:b/>
          <w:bCs/>
        </w:rPr>
        <w:t xml:space="preserve">Bhavanandi-Chaturvēdibhaṭṭa-Sōmayājiyār</w:t>
      </w:r>
      <w:r>
        <w:t xml:space="preserve"> </w:t>
      </w:r>
      <w:r>
        <w:t xml:space="preserve">of</w:t>
      </w:r>
      <w:r>
        <w:t xml:space="preserve"> </w:t>
      </w:r>
      <w:r>
        <w:rPr>
          <w:rStyle w:val="FootnoteReference"/>
        </w:rPr>
        <w:footnoteReference w:id="10"/>
      </w:r>
      <w:r>
        <w:rPr>
          <w:b/>
          <w:bCs/>
        </w:rPr>
        <w:t xml:space="preserve"> </w:t>
      </w:r>
      <w:r>
        <w:rPr>
          <w:b/>
          <w:bCs/>
        </w:rPr>
        <w:t xml:space="preserve">Kuñjapevil</w:t>
      </w:r>
      <w:r>
        <w:t xml:space="preserve"> </w:t>
      </w:r>
      <w:r>
        <w:t xml:space="preserve">(</w:t>
      </w:r>
      <w:r>
        <w:rPr>
          <w:i/>
          <w:iCs/>
        </w:rPr>
        <w:t xml:space="preserve">living</w:t>
      </w:r>
      <w:r>
        <w:t xml:space="preserve">) in (</w:t>
      </w:r>
      <w:r>
        <w:rPr>
          <w:i/>
          <w:iCs/>
        </w:rPr>
        <w:t xml:space="preserve">the quarter</w:t>
      </w:r>
      <w:r>
        <w:t xml:space="preserve">)</w:t>
      </w:r>
      <w:r>
        <w:t xml:space="preserve"> </w:t>
      </w:r>
      <w:r>
        <w:rPr>
          <w:b/>
          <w:bCs/>
        </w:rPr>
        <w:t xml:space="preserve">Tirunīlakaṇḍachchēri</w:t>
      </w:r>
      <w:r>
        <w:t xml:space="preserve"> </w:t>
      </w:r>
      <w:r>
        <w:t xml:space="preserve">and (</w:t>
      </w:r>
      <w:r>
        <w:rPr>
          <w:i/>
          <w:iCs/>
        </w:rPr>
        <w:t xml:space="preserve">one) kāṇi (of land</w:t>
      </w:r>
      <w:r>
        <w:t xml:space="preserve">) in the village-site (</w:t>
      </w:r>
      <w:r>
        <w:rPr>
          <w:i/>
          <w:iCs/>
        </w:rPr>
        <w:t xml:space="preserve">ūrirukkai</w:t>
      </w:r>
      <w:r>
        <w:t xml:space="preserve">) of</w:t>
      </w:r>
      <w:r>
        <w:t xml:space="preserve"> </w:t>
      </w:r>
      <w:r>
        <w:rPr>
          <w:b/>
          <w:bCs/>
        </w:rPr>
        <w:t xml:space="preserve">Tiruviśalūr</w:t>
      </w:r>
      <w:r>
        <w:t xml:space="preserve">, (</w:t>
      </w:r>
      <w:r>
        <w:rPr>
          <w:i/>
          <w:iCs/>
        </w:rPr>
        <w:t xml:space="preserve">forming</w:t>
      </w:r>
      <w:r>
        <w:t xml:space="preserve">) the</w:t>
      </w:r>
      <w:r>
        <w:t xml:space="preserve"> </w:t>
      </w:r>
      <w:r>
        <w:rPr>
          <w:i/>
          <w:iCs/>
        </w:rPr>
        <w:t xml:space="preserve">nattam</w:t>
      </w:r>
      <w:r>
        <w:t xml:space="preserve"> </w:t>
      </w:r>
      <w:r>
        <w:t xml:space="preserve">portion of the</w:t>
      </w:r>
      <w:r>
        <w:t xml:space="preserve"> </w:t>
      </w:r>
      <w:r>
        <w:rPr>
          <w:i/>
          <w:iCs/>
        </w:rPr>
        <w:t xml:space="preserve">aṭṭakam</w:t>
      </w:r>
      <w:r>
        <w:t xml:space="preserve"> </w:t>
      </w:r>
      <w:r>
        <w:t xml:space="preserve">of</w:t>
      </w:r>
      <w:r>
        <w:t xml:space="preserve"> </w:t>
      </w:r>
      <w:r>
        <w:rPr>
          <w:b/>
          <w:bCs/>
        </w:rPr>
        <w:t xml:space="preserve">Nandīśvara-Bhaṭṭa</w:t>
      </w:r>
      <w:r>
        <w:t xml:space="preserve"> </w:t>
      </w:r>
      <w:r>
        <w:t xml:space="preserve">(</w:t>
      </w:r>
      <w:r>
        <w:rPr>
          <w:i/>
          <w:iCs/>
        </w:rPr>
        <w:t xml:space="preserve">living</w:t>
      </w:r>
      <w:r>
        <w:t xml:space="preserve">) in</w:t>
      </w:r>
      <w:r>
        <w:t xml:space="preserve"> </w:t>
      </w:r>
      <w:r>
        <w:rPr>
          <w:b/>
          <w:bCs/>
        </w:rPr>
        <w:t xml:space="preserve">Śrīmādhavarchēri</w:t>
      </w:r>
      <w:r>
        <w:t xml:space="preserve">,—in all this quarter (</w:t>
      </w:r>
      <w:r>
        <w:rPr>
          <w:i/>
          <w:iCs/>
        </w:rPr>
        <w:t xml:space="preserve">vēli</w:t>
      </w:r>
      <w:r>
        <w:t xml:space="preserve">) and (</w:t>
      </w:r>
      <w:r>
        <w:rPr>
          <w:i/>
          <w:iCs/>
        </w:rPr>
        <w:t xml:space="preserve">one) kāṇi (of land</w:t>
      </w:r>
      <w:r>
        <w:t xml:space="preserve">) were given (</w:t>
      </w:r>
      <w:r>
        <w:rPr>
          <w:i/>
          <w:iCs/>
        </w:rPr>
        <w:t xml:space="preserve">by him) (to last</w:t>
      </w:r>
      <w:r>
        <w:t xml:space="preserve">) as long as the moon and the sun. (</w:t>
      </w:r>
      <w:r>
        <w:rPr>
          <w:i/>
          <w:iCs/>
        </w:rPr>
        <w:t xml:space="preserve">The assembly of</w:t>
      </w:r>
      <w:r>
        <w:t xml:space="preserve">) all</w:t>
      </w:r>
      <w:r>
        <w:t xml:space="preserve"> </w:t>
      </w:r>
      <w:r>
        <w:rPr>
          <w:i/>
          <w:iCs/>
        </w:rPr>
        <w:t xml:space="preserve">Māhēśvaras</w:t>
      </w:r>
      <w:r>
        <w:t xml:space="preserve"> </w:t>
      </w:r>
      <w:r>
        <w:t xml:space="preserve">shall protect (</w:t>
      </w:r>
      <w:r>
        <w:rPr>
          <w:i/>
          <w:iCs/>
        </w:rPr>
        <w:t xml:space="preserve">this charity</w:t>
      </w:r>
      <w:r>
        <w:t xml:space="preserve">).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This inscription is engraved in continuation of No. 319 of 1907.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3.120 by Krishna Sastri 1920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1920.</w:t>
      </w:r>
      <w:r>
        <w:t xml:space="preserve"> </w:t>
      </w:r>
      <w:r>
        <w:rPr>
          <w:i/>
          <w:iCs/>
        </w:rPr>
        <w:t xml:space="preserve">South-Indian inscriptions. Volume III: Miscellaneous inscriptions from the Tamil country. Part III: Inscriptions of Aditya I, Parantaka I, Madiraikonda, Rajakesarivarman, Parantaka II, Uttama-Chola, Parthivendravarman and Aditya-Karikala and the Tiruvalangadu plates of Rajendra-Chola I</w:t>
      </w:r>
      <w:r>
        <w:t xml:space="preserve">. South Indian Inscriptions 3.3. Madras: Government Press. Pages 256–257, item 120.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 meaning of the phrase</w:t>
      </w:r>
      <w:r>
        <w:t xml:space="preserve"> </w:t>
      </w:r>
      <w:r>
        <w:rPr>
          <w:i/>
          <w:iCs/>
        </w:rPr>
        <w:t xml:space="preserve">a</w:t>
      </w:r>
      <w:r>
        <w:rPr>
          <w:b/>
          <w:bCs/>
          <w:i/>
          <w:iCs/>
        </w:rPr>
        <w:t xml:space="preserve">de</w:t>
      </w:r>
      <w:r>
        <w:rPr>
          <w:i/>
          <w:iCs/>
        </w:rPr>
        <w:t xml:space="preserve">yam ceytu</w:t>
      </w:r>
      <w:r>
        <w:t xml:space="preserve"> </w:t>
      </w:r>
      <w:r>
        <w:t xml:space="preserve">is not quite clear. It may be that the land was made taxfree and the phrase corresponds to the Tamil</w:t>
      </w:r>
      <w:r>
        <w:t xml:space="preserve"> </w:t>
      </w:r>
      <w:r>
        <w:rPr>
          <w:i/>
          <w:iCs/>
        </w:rPr>
        <w:t xml:space="preserve">iṟaiyili</w:t>
      </w:r>
      <w:r>
        <w:t xml:space="preserve">. The tax payable to the king is designated</w:t>
      </w:r>
      <w:r>
        <w:t xml:space="preserve"> </w:t>
      </w:r>
      <w:r>
        <w:rPr>
          <w:i/>
          <w:iCs/>
        </w:rPr>
        <w:t xml:space="preserve">rājapradēya</w:t>
      </w:r>
      <w:r>
        <w:t xml:space="preserve"> </w:t>
      </w:r>
      <w:r>
        <w:t xml:space="preserve">in the next inscription, text line 2. The other meaning that suggests itself is that the land was made inalienable.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For the occurrence of</w:t>
      </w:r>
      <w:r>
        <w:t xml:space="preserve"> </w:t>
      </w:r>
      <w:r>
        <w:rPr>
          <w:i/>
          <w:iCs/>
        </w:rPr>
        <w:t xml:space="preserve">kuñcappevil</w:t>
      </w:r>
      <w:r>
        <w:t xml:space="preserve"> </w:t>
      </w:r>
      <w:r>
        <w:t xml:space="preserve">as a family name, see above, Vol. II, Part V, pp. 533 and 534.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3.120: original edition by H. Krishna Sastri</dc:title>
  <dc:creator>Emmanuel Francis</dc:creator>
  <cp:keywords/>
  <dcterms:created xsi:type="dcterms:W3CDTF">2026-10-26T17:54:35Z</dcterms:created>
  <dcterms:modified xsi:type="dcterms:W3CDTF">2026-10-26T17:54:35Z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