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1.68: original edition by Eugen Hultzsch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Alternative title: PART II. TAMIL AND GRANTHA INSCRIPTIONS. IV. INSCRIPTIONS AT TIRUMALAI NEAR POLŪR. No. 68. ON A ROCK BURIED UNDERNEATH THE STEPS BETWEEN THE GOPURA AND THE PAINTED CAVE</w:t>
      </w:r>
    </w:p>
    <w:p>
      <w:pPr>
        <w:pStyle w:val="BodyText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DHARMA_INSSIIv01p0i0068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SII_B_clean/SII01/DHARMA_INSSIIv01p0i0068.xml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2026-10-13 10:44 (c108132), last modified 2026-09-29 11:08 (2b36d53)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Like the preceding inscription, this one is dated in the 12th year of</w:t>
      </w:r>
      <w:r>
        <w:t xml:space="preserve"> </w:t>
      </w:r>
      <w:r>
        <w:rPr>
          <w:b/>
          <w:bCs/>
        </w:rPr>
        <w:t xml:space="preserve">Ko-Parakesarivarman</w:t>
      </w:r>
      <w:r>
        <w:t xml:space="preserve">,</w:t>
      </w:r>
      <w:r>
        <w:t xml:space="preserve"> </w:t>
      </w:r>
      <w:r>
        <w:rPr>
          <w:i/>
          <w:iCs/>
        </w:rPr>
        <w:t xml:space="preserve">alias</w:t>
      </w:r>
      <w:r>
        <w:t xml:space="preserve"> </w:t>
      </w:r>
      <w:r>
        <w:rPr>
          <w:b/>
          <w:bCs/>
        </w:rPr>
        <w:t xml:space="preserve">Uḍaiyār Rājendra-Choḷa-deva</w:t>
      </w:r>
      <w:r>
        <w:t xml:space="preserve">. It records the gift of a lamp to the god of the</w:t>
      </w:r>
      <w:r>
        <w:t xml:space="preserve"> </w:t>
      </w:r>
      <w:r>
        <w:rPr>
          <w:b/>
          <w:bCs/>
        </w:rPr>
        <w:t xml:space="preserve">Tirumalai</w:t>
      </w:r>
      <w:r>
        <w:t xml:space="preserve"> </w:t>
      </w:r>
      <w:r>
        <w:t xml:space="preserve">Temple, who seems to have been called</w:t>
      </w:r>
      <w:r>
        <w:t xml:space="preserve"> </w:t>
      </w:r>
      <w:r>
        <w:rPr>
          <w:b/>
          <w:bCs/>
        </w:rPr>
        <w:t xml:space="preserve">Ārambhanandin</w:t>
      </w:r>
      <w:r>
        <w:t xml:space="preserve">, and allots money for the maintenance of this lamp and of another lamp, which had been given by “</w:t>
      </w:r>
      <w:r>
        <w:rPr>
          <w:b/>
          <w:bCs/>
        </w:rPr>
        <w:t xml:space="preserve">Śiṇṇavai</w:t>
      </w:r>
      <w:r>
        <w:t xml:space="preserve">, the queen of the</w:t>
      </w:r>
      <w:r>
        <w:t xml:space="preserve"> </w:t>
      </w:r>
      <w:r>
        <w:rPr>
          <w:b/>
          <w:bCs/>
        </w:rPr>
        <w:t xml:space="preserve">Pallava</w:t>
      </w:r>
      <w:r>
        <w:t xml:space="preserve"> </w:t>
      </w:r>
      <w:r>
        <w:t xml:space="preserve">king.” Like</w:t>
      </w:r>
      <w:r>
        <w:t xml:space="preserve"> </w:t>
      </w:r>
      <w:r>
        <w:rPr>
          <w:b/>
          <w:bCs/>
        </w:rPr>
        <w:t xml:space="preserve">Kundavai</w:t>
      </w:r>
      <w:r>
        <w:t xml:space="preserve">, the queen of the</w:t>
      </w:r>
      <w:r>
        <w:t xml:space="preserve"> </w:t>
      </w:r>
      <w:r>
        <w:rPr>
          <w:b/>
          <w:bCs/>
        </w:rPr>
        <w:t xml:space="preserve">Pallava</w:t>
      </w:r>
      <w:r>
        <w:t xml:space="preserve"> </w:t>
      </w:r>
      <w:r>
        <w:t xml:space="preserve">king</w:t>
      </w:r>
      <w:r>
        <w:t xml:space="preserve"> </w:t>
      </w:r>
      <w:r>
        <w:rPr>
          <w:b/>
          <w:bCs/>
        </w:rPr>
        <w:t xml:space="preserve">Vandyadeva</w:t>
      </w:r>
      <w:r>
        <w:t xml:space="preserve">,</w:t>
      </w:r>
      <w:r>
        <w:rPr>
          <w:rStyle w:val="FootnoteReference"/>
        </w:rPr>
        <w:footnoteReference w:id="9"/>
      </w:r>
      <w:r>
        <w:t xml:space="preserve"> </w:t>
      </w:r>
      <w:r>
        <w:t xml:space="preserve">this was probably a</w:t>
      </w:r>
      <w:r>
        <w:t xml:space="preserve"> </w:t>
      </w:r>
      <w:r>
        <w:rPr>
          <w:b/>
          <w:bCs/>
        </w:rPr>
        <w:t xml:space="preserve">Choḷa</w:t>
      </w:r>
      <w:r>
        <w:t xml:space="preserve"> </w:t>
      </w:r>
      <w:r>
        <w:t xml:space="preserve">princess, who was married to a</w:t>
      </w:r>
      <w:r>
        <w:t xml:space="preserve"> </w:t>
      </w:r>
      <w:r>
        <w:rPr>
          <w:b/>
          <w:bCs/>
        </w:rPr>
        <w:t xml:space="preserve">Pallava</w:t>
      </w:r>
      <w:r>
        <w:t xml:space="preserve"> </w:t>
      </w:r>
      <w:r>
        <w:t xml:space="preserve">king.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  <w:r>
        <w:t xml:space="preserve"> </w:t>
      </w:r>
      <w:r>
        <w:t xml:space="preserve">[∥] tirumaṉṉi vaḷara Iru (ni)lamaṭantaiyum porcca</w:t>
      </w:r>
      <w:r>
        <w:rPr>
          <w:rStyle w:val="ColorGray"/>
        </w:rPr>
        <w:t xml:space="preserve">⟨2⟩</w:t>
      </w:r>
      <w:r>
        <w:t xml:space="preserve">yappāvaiyuñcīrttaṉiccelviyuntaṉ perunteviyarāki Iṉpu</w:t>
      </w:r>
      <w:r>
        <w:rPr>
          <w:rStyle w:val="ColorGray"/>
        </w:rPr>
        <w:t xml:space="preserve">⟨3⟩</w:t>
      </w:r>
      <w:r>
        <w:t xml:space="preserve">(ṟa) neṭu tiyal Ūḻiyuḷ I(ṭ)aituṟaināṭuntuṭar vaṉaveli</w:t>
      </w:r>
      <w:r>
        <w:rPr>
          <w:rStyle w:val="ColorGray"/>
        </w:rPr>
        <w:t xml:space="preserve">⟨4⟩</w:t>
      </w:r>
      <w:r>
        <w:t xml:space="preserve">ppaṭa(r va)ṉavāciyuñcuḷḷiccūḻ matiṭkoḷḷippākkaiyunaṇ</w:t>
      </w:r>
      <w:r>
        <w:rPr>
          <w:rStyle w:val="ColorGray"/>
        </w:rPr>
        <w:t xml:space="preserve">⟨5⟩</w:t>
      </w:r>
      <w:r>
        <w:t xml:space="preserve">ṇaṟkaru mu(ra)ṇ maṇṇaikkaṭakkamum poru kaṭal Īḻattaracar tamuṭiyum Āṅka</w:t>
      </w:r>
      <w:r>
        <w:rPr>
          <w:rStyle w:val="ColorGray"/>
        </w:rPr>
        <w:t xml:space="preserve">⟨6⟩</w:t>
      </w:r>
      <w:r>
        <w:t xml:space="preserve">var teviyaroṅkeḻil muṭiyum muṉavar pakkaltteṉṉavar vaitta cun</w:t>
      </w:r>
      <w:r>
        <w:rPr>
          <w:rStyle w:val="ColorGray"/>
        </w:rPr>
        <w:t xml:space="preserve">⟨7⟩</w:t>
      </w:r>
      <w:r>
        <w:t xml:space="preserve">taramuṭiyum Intiranāramunteṇṭirai Īḻamaṇṭalamuḻuvatum Eṟi paṭaikkeraḷa</w:t>
      </w:r>
      <w:r>
        <w:rPr>
          <w:rStyle w:val="ColorGray"/>
        </w:rPr>
        <w:t xml:space="preserve">⟨8⟩</w:t>
      </w:r>
      <w:r>
        <w:t xml:space="preserve">r muṟaimaiyiṟcūṭuṅkulataṉamākiya palar pukaḻ muṭiyuñceṅkatir mālaiyuñ</w:t>
      </w:r>
      <w:r>
        <w:rPr>
          <w:rStyle w:val="ColorGray"/>
        </w:rPr>
        <w:t xml:space="preserve">⟨9⟩</w:t>
      </w:r>
      <w:r>
        <w:t xml:space="preserve">caṅkatir velaittol peruṅkāvaṟpala paḻantivuñceruviṟceṉavil Irupa</w:t>
      </w:r>
      <w:r>
        <w:rPr>
          <w:rStyle w:val="ColorGray"/>
        </w:rPr>
        <w:t xml:space="preserve">⟨10⟩</w:t>
      </w:r>
      <w:r>
        <w:t xml:space="preserve">ttoru kālaraicukaḷai kaṭṭa paracurāmaṉ melavaruñcāntimattivavaraṇ karu</w:t>
      </w:r>
      <w:r>
        <w:rPr>
          <w:rStyle w:val="ColorGray"/>
        </w:rPr>
        <w:t xml:space="preserve">⟨11⟩</w:t>
      </w:r>
      <w:r>
        <w:t xml:space="preserve">ti Iruttiya cem poṟṟiruttaku muṭiyum payaṅkoṭu paḻi mika mucaṅ</w:t>
      </w:r>
      <w:r>
        <w:rPr>
          <w:rStyle w:val="ColorGray"/>
        </w:rPr>
        <w:t xml:space="preserve">⟨12⟩</w:t>
      </w:r>
      <w:r>
        <w:t xml:space="preserve">kiyil mutukiṭṭoḷitta cayaciṅkaṉ Aḷapperum pukaḻoṭum piṭiya</w:t>
      </w:r>
      <w:r>
        <w:rPr>
          <w:rStyle w:val="ColorGray"/>
        </w:rPr>
        <w:t xml:space="preserve">⟨13⟩</w:t>
      </w:r>
      <w:r>
        <w:t xml:space="preserve">l Iraṭṭapāṭi Eḻarai Ilakkamunavanetikkulapperumalaikaḷum vikkiramavi</w:t>
      </w:r>
      <w:r>
        <w:rPr>
          <w:rStyle w:val="ColorGray"/>
        </w:rPr>
        <w:t xml:space="preserve">⟨14⟩</w:t>
      </w:r>
      <w:r>
        <w:t xml:space="preserve">rar cakkarakoṭṭamumutirapaṭavallai maturamaṇṭalamum kāmiṭaivaḷaiyanāmaṇaikkoṇa</w:t>
      </w:r>
      <w:r>
        <w:rPr>
          <w:rStyle w:val="ColorGray"/>
        </w:rPr>
        <w:t xml:space="preserve">⟨15⟩</w:t>
      </w:r>
      <w:r>
        <w:t xml:space="preserve">mum veñcilaivirar pañcappaḷḷiyum pācuṭaippaḻanaṉmācuṇitecamumayar</w:t>
      </w:r>
      <w:r>
        <w:rPr>
          <w:rStyle w:val="ColorGray"/>
        </w:rPr>
        <w:t xml:space="preserve">⟨16⟩</w:t>
      </w:r>
      <w:r>
        <w:t xml:space="preserve">vil vaṇ kirtti Ātinakaravaiyiṟcan=tiraṉṟol kulattirataraṉai viḷaiyamark(ka)ḷattu</w:t>
      </w:r>
      <w:r>
        <w:rPr>
          <w:rStyle w:val="ColorGray"/>
        </w:rPr>
        <w:t xml:space="preserve">⟨17⟩</w:t>
      </w:r>
      <w:r>
        <w:t xml:space="preserve">kkiḷaiyoṭum piṭittuppala taṉattoṭu niṟai kulataṉakkuvaiyuñciṭṭaruñceṟi miḷai</w:t>
      </w:r>
      <w:r>
        <w:rPr>
          <w:rStyle w:val="ColorGray"/>
        </w:rPr>
        <w:t xml:space="preserve">⟨18⟩</w:t>
      </w:r>
      <w:r>
        <w:t xml:space="preserve">yoṭṭavi</w:t>
      </w:r>
      <w:r>
        <w:rPr>
          <w:b/>
          <w:bCs/>
        </w:rPr>
        <w:t xml:space="preserve">ṣa</w:t>
      </w:r>
      <w:r>
        <w:t xml:space="preserve">yamum pūcurar cer nalkkocalaināṭun=taṉmapālaṉai vem muṉaiyaḻittu vaṇṭu</w:t>
      </w:r>
      <w:r>
        <w:rPr>
          <w:rStyle w:val="ColorGray"/>
        </w:rPr>
        <w:t xml:space="preserve">⟨19⟩</w:t>
      </w:r>
      <w:r>
        <w:t xml:space="preserve">ṟai colaittaṇṭayuttiyumiraṇacūraṉai muraṇuṟattākkittikkaṇai kirttittakkaṇalāṭamuṅkovin=tacan=taṉ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⟨20⟩</w:t>
      </w:r>
      <w:r>
        <w:rPr>
          <w:rStyle w:val="ColorGray"/>
        </w:rPr>
        <w:t xml:space="preserve"> </w:t>
      </w:r>
      <w:r>
        <w:t xml:space="preserve">māviḻin=toṭattaṅkāta cāral vaṅkāḷatecamun=toṭu kaṭaṟcaṅkuvoṭaṉ</w:t>
      </w:r>
      <w:r>
        <w:t xml:space="preserve"> </w:t>
      </w:r>
      <w:r>
        <w:rPr>
          <w:b/>
          <w:bCs/>
        </w:rPr>
        <w:t xml:space="preserve">mahipā</w:t>
      </w:r>
      <w:r>
        <w:t xml:space="preserve">ḷaṉai veñcamar vaḷā(ka)</w:t>
      </w:r>
      <w:r>
        <w:rPr>
          <w:rStyle w:val="ColorGray"/>
        </w:rPr>
        <w:t xml:space="preserve">⟨21⟩</w:t>
      </w:r>
      <w:r>
        <w:t xml:space="preserve">ttañcuvittaruḷa Oṇṭil yāṉaiyum peṇṭir paṇṭāramum nittalaneṭuṅkaṭaluttiralāṭamum veṟi maṇaṟṟi(r)</w:t>
      </w:r>
      <w:r>
        <w:rPr>
          <w:rStyle w:val="ColorGray"/>
        </w:rPr>
        <w:t xml:space="preserve">⟨22⟩</w:t>
      </w:r>
      <w:r>
        <w:t xml:space="preserve">ttatteṟi puṉaṟkaṅkaiyumā(p)poru taṇṭāṟkoṇṭa kopparakecaripaṉmarāṉa Uṭaiyār</w:t>
      </w:r>
      <w:r>
        <w:t xml:space="preserve"> </w:t>
      </w:r>
      <w:r>
        <w:rPr>
          <w:b/>
          <w:bCs/>
        </w:rPr>
        <w:t xml:space="preserve">śrīrājendraco</w:t>
      </w:r>
      <w:r>
        <w:t xml:space="preserve">ḻu</w:t>
      </w:r>
      <w:r>
        <w:rPr>
          <w:rStyle w:val="ColorGray"/>
        </w:rPr>
        <w:t xml:space="preserve">⟨23⟩</w:t>
      </w:r>
      <w:r>
        <w:rPr>
          <w:b/>
          <w:bCs/>
        </w:rPr>
        <w:t xml:space="preserve">de</w:t>
      </w:r>
      <w:r>
        <w:t xml:space="preserve">vaṟku yāṇṭu 10 2 Āvatu</w:t>
      </w:r>
      <w:r>
        <w:t xml:space="preserve"> </w:t>
      </w:r>
      <w:r>
        <w:rPr>
          <w:b/>
          <w:bCs/>
        </w:rPr>
        <w:t xml:space="preserve">ja</w:t>
      </w:r>
      <w:r>
        <w:t xml:space="preserve">yaṅkoṇṭacoḻamaṇṭalattuppaṅkaḷanāṭṭu naṭuvil vakai mukaināṭṭuppaḷḷi</w:t>
      </w:r>
      <w:r>
        <w:rPr>
          <w:rStyle w:val="ColorGray"/>
        </w:rPr>
        <w:t xml:space="preserve">⟨24⟩</w:t>
      </w:r>
      <w:r>
        <w:t xml:space="preserve">ccan=tam vaikavūrttirumalai</w:t>
      </w:r>
      <w:r>
        <w:t xml:space="preserve"> </w:t>
      </w:r>
      <w:r>
        <w:rPr>
          <w:b/>
          <w:bCs/>
        </w:rPr>
        <w:t xml:space="preserve">de</w:t>
      </w:r>
      <w:r>
        <w:t xml:space="preserve">varkku (I)ḷaiyamaṇinaṅkai vaitta tirunan=tāviḷakkoṉṟu [|] Itaṟku</w:t>
      </w:r>
      <w:r>
        <w:t xml:space="preserve"> </w:t>
      </w:r>
      <w:r>
        <w:rPr>
          <w:b/>
          <w:bCs/>
        </w:rPr>
        <w:t xml:space="preserve">bhū</w:t>
      </w:r>
      <w:r>
        <w:t xml:space="preserve">mi tiruttakkuṭutta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⟨25⟩</w:t>
      </w:r>
      <w:r>
        <w:rPr>
          <w:rStyle w:val="ColorGray"/>
        </w:rPr>
        <w:t xml:space="preserve"> </w:t>
      </w:r>
      <w:r>
        <w:t xml:space="preserve">kācu Irupatu [|] Ippūmiyāl</w:t>
      </w:r>
      <w:r>
        <w:t xml:space="preserve"> </w:t>
      </w:r>
      <w:r>
        <w:rPr>
          <w:b/>
          <w:bCs/>
        </w:rPr>
        <w:t xml:space="preserve">candrādi</w:t>
      </w:r>
      <w:r>
        <w:t xml:space="preserve">ttava</w:t>
      </w:r>
      <w:r>
        <w:rPr>
          <w:rStyle w:val="ColorRed"/>
        </w:rPr>
        <w:t xml:space="preserve">¿ṟa?</w:t>
      </w:r>
      <w:r>
        <w:rPr>
          <w:rStyle w:val="ColorGreen"/>
        </w:rPr>
        <w:t xml:space="preserve">⟨rai⟩</w:t>
      </w:r>
      <w:r>
        <w:t xml:space="preserve"> </w:t>
      </w:r>
      <w:r>
        <w:t xml:space="preserve">Ivviḷakku Ippaḷḷi Uṭaiya Ārampaṉantikku nittam nan=tāviḷakkoṉṟu</w:t>
      </w:r>
      <w:r>
        <w:rPr>
          <w:rStyle w:val="ColorGray"/>
        </w:rPr>
        <w:t xml:space="preserve">⟨26⟩</w:t>
      </w:r>
      <w:r>
        <w:t xml:space="preserve">m [|]</w:t>
      </w:r>
      <w:r>
        <w:t xml:space="preserve"> </w:t>
      </w:r>
      <w:r>
        <w:rPr>
          <w:b/>
          <w:bCs/>
        </w:rPr>
        <w:t xml:space="preserve">palla</w:t>
      </w:r>
      <w:r>
        <w:t xml:space="preserve">va</w:t>
      </w:r>
      <w:r>
        <w:rPr>
          <w:b/>
          <w:bCs/>
        </w:rPr>
        <w:t xml:space="preserve">ra</w:t>
      </w:r>
      <w:r>
        <w:rPr>
          <w:b/>
          <w:bCs/>
        </w:rPr>
        <w:t xml:space="preserve">sa</w:t>
      </w:r>
      <w:r>
        <w:t xml:space="preserve">r</w:t>
      </w:r>
      <w:r>
        <w:t xml:space="preserve"> </w:t>
      </w:r>
      <w:r>
        <w:rPr>
          <w:b/>
          <w:bCs/>
        </w:rPr>
        <w:t xml:space="preserve">de</w:t>
      </w:r>
      <w:r>
        <w:t xml:space="preserve">viy(ā)r ciṇṇavaiyār</w:t>
      </w:r>
      <w:r>
        <w:t xml:space="preserve"> </w:t>
      </w:r>
      <w:r>
        <w:rPr>
          <w:b/>
          <w:bCs/>
        </w:rPr>
        <w:t xml:space="preserve">candrāditya</w:t>
      </w:r>
      <w:r>
        <w:t xml:space="preserve">va</w:t>
      </w:r>
      <w:r>
        <w:rPr>
          <w:rStyle w:val="ColorRed"/>
        </w:rPr>
        <w:t xml:space="preserve">¿ṟa?</w:t>
      </w:r>
      <w:r>
        <w:rPr>
          <w:rStyle w:val="ColorGreen"/>
        </w:rPr>
        <w:t xml:space="preserve">⟨rai⟩</w:t>
      </w:r>
      <w:r>
        <w:t xml:space="preserve"> </w:t>
      </w:r>
      <w:r>
        <w:t xml:space="preserve">vaitta nan=tāviḷakkoṉṟukku kuṭutta kācu Aṟupatu [∥]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⟨10⟩</w:t>
      </w:r>
      <w:r>
        <w:t xml:space="preserve"> </w:t>
      </w:r>
      <w:r>
        <w:t xml:space="preserve">melavaruñ • The inscription No.</w:t>
      </w:r>
      <w:r>
        <w:t xml:space="preserve"> </w:t>
      </w:r>
      <w:hyperlink r:id="rId10">
        <w:r>
          <w:rPr>
            <w:rStyle w:val="Hyperlink"/>
          </w:rPr>
          <w:t xml:space="preserve">67</w:t>
        </w:r>
      </w:hyperlink>
      <w:r>
        <w:t xml:space="preserve"> </w:t>
      </w:r>
      <w:r>
        <w:t xml:space="preserve">reads</w:t>
      </w:r>
      <w:r>
        <w:t xml:space="preserve"> </w:t>
      </w:r>
      <w:r>
        <w:rPr>
          <w:i/>
          <w:iCs/>
        </w:rPr>
        <w:t xml:space="preserve">mevaruñ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⟨19⟩</w:t>
      </w:r>
      <w:r>
        <w:t xml:space="preserve"> </w:t>
      </w:r>
      <w:r>
        <w:t xml:space="preserve">muraṇ •</w:t>
      </w:r>
      <w:r>
        <w:t xml:space="preserve"> </w:t>
      </w:r>
      <w:r>
        <w:rPr>
          <w:i/>
          <w:iCs/>
        </w:rPr>
        <w:t xml:space="preserve">ra</w:t>
      </w:r>
      <w:r>
        <w:t xml:space="preserve"> </w:t>
      </w:r>
      <w:r>
        <w:t xml:space="preserve">looks like</w:t>
      </w:r>
      <w:r>
        <w:t xml:space="preserve"> </w:t>
      </w:r>
      <w:r>
        <w:rPr>
          <w:i/>
          <w:iCs/>
        </w:rPr>
        <w:t xml:space="preserve">ru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⟨20⟩</w:t>
      </w:r>
      <w:r>
        <w:t xml:space="preserve"> </w:t>
      </w:r>
      <w:r>
        <w:t xml:space="preserve">caṅkuvoṭaṉ • The inscription No.</w:t>
      </w:r>
      <w:r>
        <w:t xml:space="preserve"> </w:t>
      </w:r>
      <w:hyperlink r:id="rId10">
        <w:r>
          <w:rPr>
            <w:rStyle w:val="Hyperlink"/>
          </w:rPr>
          <w:t xml:space="preserve">67</w:t>
        </w:r>
      </w:hyperlink>
      <w:r>
        <w:t xml:space="preserve"> </w:t>
      </w:r>
      <w:r>
        <w:t xml:space="preserve">reads</w:t>
      </w:r>
      <w:r>
        <w:t xml:space="preserve"> </w:t>
      </w:r>
      <w:r>
        <w:rPr>
          <w:i/>
          <w:iCs/>
        </w:rPr>
        <w:t xml:space="preserve">caṅkukoṭṭaṉ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⟨21⟩</w:t>
      </w:r>
      <w:r>
        <w:t xml:space="preserve"> </w:t>
      </w:r>
      <w:r>
        <w:t xml:space="preserve">aruḷa • The inscription No.</w:t>
      </w:r>
      <w:r>
        <w:t xml:space="preserve"> </w:t>
      </w:r>
      <w:hyperlink r:id="rId10">
        <w:r>
          <w:rPr>
            <w:rStyle w:val="Hyperlink"/>
          </w:rPr>
          <w:t xml:space="preserve">67</w:t>
        </w:r>
      </w:hyperlink>
      <w:r>
        <w:t xml:space="preserve"> </w:t>
      </w:r>
      <w:r>
        <w:t xml:space="preserve">reads</w:t>
      </w:r>
      <w:r>
        <w:t xml:space="preserve"> </w:t>
      </w:r>
      <w:r>
        <w:rPr>
          <w:i/>
          <w:iCs/>
        </w:rPr>
        <w:t xml:space="preserve">Aruḷi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⟨21⟩</w:t>
      </w:r>
      <w:r>
        <w:t xml:space="preserve"> </w:t>
      </w:r>
      <w:r>
        <w:t xml:space="preserve">Oṇṭil • The inscription No.</w:t>
      </w:r>
      <w:r>
        <w:t xml:space="preserve"> </w:t>
      </w:r>
      <w:hyperlink r:id="rId10">
        <w:r>
          <w:rPr>
            <w:rStyle w:val="Hyperlink"/>
          </w:rPr>
          <w:t xml:space="preserve">67</w:t>
        </w:r>
      </w:hyperlink>
      <w:r>
        <w:t xml:space="preserve"> </w:t>
      </w:r>
      <w:r>
        <w:t xml:space="preserve">reads</w:t>
      </w:r>
      <w:r>
        <w:t xml:space="preserve"> </w:t>
      </w:r>
      <w:r>
        <w:rPr>
          <w:i/>
          <w:iCs/>
        </w:rPr>
        <w:t xml:space="preserve">oṇṭiṟal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⟨21⟩</w:t>
      </w:r>
      <w:r>
        <w:t xml:space="preserve"> </w:t>
      </w:r>
      <w:r>
        <w:t xml:space="preserve">nittala • The inscription No.</w:t>
      </w:r>
      <w:r>
        <w:t xml:space="preserve"> </w:t>
      </w:r>
      <w:hyperlink r:id="rId10">
        <w:r>
          <w:rPr>
            <w:rStyle w:val="Hyperlink"/>
          </w:rPr>
          <w:t xml:space="preserve">67</w:t>
        </w:r>
      </w:hyperlink>
      <w:r>
        <w:t xml:space="preserve"> </w:t>
      </w:r>
      <w:r>
        <w:t xml:space="preserve">reads nittila .</w:t>
      </w:r>
    </w:p>
    <w:p>
      <w:pPr>
        <w:pStyle w:val="BodyText"/>
      </w:pPr>
      <w:r>
        <w:rPr>
          <w:rStyle w:val="ColorGray"/>
        </w:rPr>
        <w:t xml:space="preserve">⟨22⟩</w:t>
      </w:r>
      <w:r>
        <w:t xml:space="preserve"> </w:t>
      </w:r>
      <w:r>
        <w:rPr>
          <w:b/>
          <w:bCs/>
        </w:rPr>
        <w:t xml:space="preserve">co</w:t>
      </w:r>
      <w:r>
        <w:t xml:space="preserve">ḻu • Read</w:t>
      </w:r>
      <w:r>
        <w:t xml:space="preserve"> </w:t>
      </w:r>
      <w:r>
        <w:rPr>
          <w:b/>
          <w:bCs/>
          <w:i/>
          <w:iCs/>
        </w:rPr>
        <w:t xml:space="preserve">co</w:t>
      </w:r>
      <w:r>
        <w:rPr>
          <w:i/>
          <w:iCs/>
        </w:rPr>
        <w:t xml:space="preserve">ḻa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  <w:i/>
          <w:iCs/>
        </w:rPr>
        <w:t xml:space="preserve">co</w:t>
      </w:r>
      <w:r>
        <w:rPr>
          <w:b/>
          <w:bCs/>
          <w:i/>
          <w:iCs/>
        </w:rPr>
        <w:t xml:space="preserve">ḷa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⟨26⟩</w:t>
      </w:r>
      <w:r>
        <w:t xml:space="preserve"> </w:t>
      </w:r>
      <w:r>
        <w:rPr>
          <w:b/>
          <w:bCs/>
        </w:rPr>
        <w:t xml:space="preserve">palla</w:t>
      </w:r>
      <w:r>
        <w:t xml:space="preserve">va</w:t>
      </w:r>
      <w:r>
        <w:rPr>
          <w:b/>
          <w:bCs/>
        </w:rPr>
        <w:t xml:space="preserve">ra</w:t>
      </w:r>
      <w:r>
        <w:rPr>
          <w:b/>
          <w:bCs/>
        </w:rPr>
        <w:t xml:space="preserve">sa</w:t>
      </w:r>
      <w:r>
        <w:t xml:space="preserve">r • This letter [[</w:t>
      </w:r>
      <w:r>
        <w:rPr>
          <w:b/>
          <w:bCs/>
        </w:rPr>
        <w:t xml:space="preserve">ra</w:t>
      </w:r>
      <w:r>
        <w:t xml:space="preserve">]] may also be read</w:t>
      </w:r>
      <w:r>
        <w:t xml:space="preserve"> </w:t>
      </w:r>
      <w:r>
        <w:rPr>
          <w:b/>
          <w:bCs/>
        </w:rPr>
        <w:t xml:space="preserve">ri</w:t>
      </w:r>
      <w:r>
        <w:t xml:space="preserve">.</w:t>
      </w:r>
    </w:p>
    <w:p>
      <w:pPr>
        <w:pStyle w:val="Heading1"/>
      </w:pPr>
      <w:r>
        <w:t xml:space="preserve">Translation by Hultzsch 1890</w:t>
      </w:r>
    </w:p>
    <w:p>
      <w:pPr>
        <w:pStyle w:val="FirstParagraph"/>
      </w:pPr>
      <w:r>
        <w:t xml:space="preserve">Hail! Prosperity! In the 12th year of (</w:t>
      </w:r>
      <w:r>
        <w:rPr>
          <w:i/>
          <w:iCs/>
        </w:rPr>
        <w:t xml:space="preserve">the reign of</w:t>
      </w:r>
      <w:r>
        <w:t xml:space="preserve">)</w:t>
      </w:r>
      <w:r>
        <w:t xml:space="preserve"> </w:t>
      </w:r>
      <w:r>
        <w:rPr>
          <w:b/>
          <w:bCs/>
        </w:rPr>
        <w:t xml:space="preserve">Ko-Parakesarivarman</w:t>
      </w:r>
      <w:r>
        <w:t xml:space="preserve">,</w:t>
      </w:r>
      <w:r>
        <w:t xml:space="preserve"> </w:t>
      </w:r>
      <w:r>
        <w:rPr>
          <w:i/>
          <w:iCs/>
        </w:rPr>
        <w:t xml:space="preserve">alias</w:t>
      </w:r>
      <w:r>
        <w:t xml:space="preserve"> </w:t>
      </w:r>
      <w:r>
        <w:rPr>
          <w:b/>
          <w:bCs/>
        </w:rPr>
        <w:t xml:space="preserve">Uḍaiyār Śrī-Rājendra-Choḷa-deva</w:t>
      </w:r>
      <w:r>
        <w:t xml:space="preserve">,</w:t>
      </w:r>
      <w:r>
        <w:t xml:space="preserve"> </w:t>
      </w:r>
      <w:r>
        <w:rPr>
          <w:i/>
          <w:iCs/>
        </w:rPr>
        <w:t xml:space="preserve">etc.,</w:t>
      </w:r>
      <w:r>
        <w:rPr>
          <w:rStyle w:val="FootnoteReference"/>
        </w:rPr>
        <w:footnoteReference w:id="11"/>
      </w:r>
      <w:r>
        <w:t xml:space="preserve">—</w:t>
      </w:r>
      <w:r>
        <w:rPr>
          <w:b/>
          <w:bCs/>
        </w:rPr>
        <w:t xml:space="preserve">Iḷaiyamaṇi-naṅgai</w:t>
      </w:r>
      <w:r>
        <w:t xml:space="preserve"> </w:t>
      </w:r>
      <w:r>
        <w:t xml:space="preserve">gave one</w:t>
      </w:r>
      <w:r>
        <w:t xml:space="preserve"> </w:t>
      </w:r>
      <w:r>
        <w:rPr>
          <w:i/>
          <w:iCs/>
        </w:rPr>
        <w:t xml:space="preserve">tirunandā</w:t>
      </w:r>
      <w:r>
        <w:t xml:space="preserve"> </w:t>
      </w:r>
      <w:r>
        <w:t xml:space="preserve">lamp to the god of the holy mountain (</w:t>
      </w:r>
      <w:r>
        <w:rPr>
          <w:i/>
          <w:iCs/>
        </w:rPr>
        <w:t xml:space="preserve">Tirumalai) (at</w:t>
      </w:r>
      <w:r>
        <w:t xml:space="preserve">) the</w:t>
      </w:r>
      <w:r>
        <w:t xml:space="preserve"> </w:t>
      </w:r>
      <w:r>
        <w:rPr>
          <w:i/>
          <w:iCs/>
        </w:rPr>
        <w:t xml:space="preserve">paḷḷichchandam</w:t>
      </w:r>
      <w:r>
        <w:t xml:space="preserve"> </w:t>
      </w:r>
      <w:r>
        <w:t xml:space="preserve">of</w:t>
      </w:r>
      <w:r>
        <w:t xml:space="preserve"> </w:t>
      </w:r>
      <w:r>
        <w:rPr>
          <w:b/>
          <w:bCs/>
        </w:rPr>
        <w:t xml:space="preserve">Vaigavūr</w:t>
      </w:r>
      <w:r>
        <w:t xml:space="preserve"> </w:t>
      </w:r>
      <w:r>
        <w:t xml:space="preserve">in</w:t>
      </w:r>
      <w:r>
        <w:t xml:space="preserve"> </w:t>
      </w:r>
      <w:r>
        <w:rPr>
          <w:b/>
          <w:bCs/>
        </w:rPr>
        <w:t xml:space="preserve">Mugai-nāḍu</w:t>
      </w:r>
      <w:r>
        <w:t xml:space="preserve">, a division in the middle of</w:t>
      </w:r>
      <w:r>
        <w:t xml:space="preserve"> </w:t>
      </w:r>
      <w:r>
        <w:rPr>
          <w:b/>
          <w:bCs/>
        </w:rPr>
        <w:t xml:space="preserve">Paṅgaḷa-nāḍu</w:t>
      </w:r>
      <w:r>
        <w:t xml:space="preserve">, (</w:t>
      </w:r>
      <w:r>
        <w:rPr>
          <w:i/>
          <w:iCs/>
        </w:rPr>
        <w:t xml:space="preserve">which forms part</w:t>
      </w:r>
      <w:r>
        <w:t xml:space="preserve">) of</w:t>
      </w:r>
      <w:r>
        <w:t xml:space="preserve"> </w:t>
      </w:r>
      <w:r>
        <w:rPr>
          <w:b/>
          <w:bCs/>
        </w:rPr>
        <w:t xml:space="preserve">Jayaṅkoṇḍa-Śoṛa-maṇḍalam</w:t>
      </w:r>
      <w:r>
        <w:t xml:space="preserve">. Twenty</w:t>
      </w:r>
      <w:r>
        <w:t xml:space="preserve"> </w:t>
      </w:r>
      <w:r>
        <w:rPr>
          <w:i/>
          <w:iCs/>
        </w:rPr>
        <w:t xml:space="preserve">kāśus</w:t>
      </w:r>
      <w:r>
        <w:t xml:space="preserve"> </w:t>
      </w:r>
      <w:r>
        <w:t xml:space="preserve">were given for cultivating the land (</w:t>
      </w:r>
      <w:r>
        <w:rPr>
          <w:i/>
          <w:iCs/>
        </w:rPr>
        <w:t xml:space="preserve">granted</w:t>
      </w:r>
      <w:r>
        <w:t xml:space="preserve">) for (</w:t>
      </w:r>
      <w:r>
        <w:rPr>
          <w:i/>
          <w:iCs/>
        </w:rPr>
        <w:t xml:space="preserve">the maintenance of</w:t>
      </w:r>
      <w:r>
        <w:t xml:space="preserve">) this (</w:t>
      </w:r>
      <w:r>
        <w:rPr>
          <w:i/>
          <w:iCs/>
        </w:rPr>
        <w:t xml:space="preserve">lamp</w:t>
      </w:r>
      <w:r>
        <w:t xml:space="preserve">). By (</w:t>
      </w:r>
      <w:r>
        <w:rPr>
          <w:i/>
          <w:iCs/>
        </w:rPr>
        <w:t xml:space="preserve">the produce of</w:t>
      </w:r>
      <w:r>
        <w:t xml:space="preserve">) this land, this lamp (</w:t>
      </w:r>
      <w:r>
        <w:rPr>
          <w:i/>
          <w:iCs/>
        </w:rPr>
        <w:t xml:space="preserve">shall be kept up</w:t>
      </w:r>
      <w:r>
        <w:t xml:space="preserve">) daily as a</w:t>
      </w:r>
      <w:r>
        <w:t xml:space="preserve"> </w:t>
      </w:r>
      <w:r>
        <w:rPr>
          <w:i/>
          <w:iCs/>
        </w:rPr>
        <w:t xml:space="preserve">nandā</w:t>
      </w:r>
      <w:r>
        <w:t xml:space="preserve"> </w:t>
      </w:r>
      <w:r>
        <w:t xml:space="preserve">lamp for</w:t>
      </w:r>
      <w:r>
        <w:t xml:space="preserve"> </w:t>
      </w:r>
      <w:r>
        <w:rPr>
          <w:b/>
          <w:bCs/>
        </w:rPr>
        <w:t xml:space="preserve">Ārambhanandin</w:t>
      </w:r>
      <w:r>
        <w:t xml:space="preserve">, the lord of this temple, as long as the moon and the sun endure. Sixty</w:t>
      </w:r>
      <w:r>
        <w:t xml:space="preserve"> </w:t>
      </w:r>
      <w:r>
        <w:rPr>
          <w:i/>
          <w:iCs/>
        </w:rPr>
        <w:t xml:space="preserve">kāśus</w:t>
      </w:r>
      <w:r>
        <w:t xml:space="preserve"> </w:t>
      </w:r>
      <w:r>
        <w:t xml:space="preserve">were given for one</w:t>
      </w:r>
      <w:r>
        <w:t xml:space="preserve"> </w:t>
      </w:r>
      <w:r>
        <w:rPr>
          <w:i/>
          <w:iCs/>
        </w:rPr>
        <w:t xml:space="preserve">nandā</w:t>
      </w:r>
      <w:r>
        <w:t xml:space="preserve"> </w:t>
      </w:r>
      <w:r>
        <w:t xml:space="preserve">lamp, which had been given, for as long as the moon and the sun endure, by</w:t>
      </w:r>
      <w:r>
        <w:t xml:space="preserve"> </w:t>
      </w:r>
      <w:r>
        <w:rPr>
          <w:b/>
          <w:bCs/>
        </w:rPr>
        <w:t xml:space="preserve">Śiṇṇavai</w:t>
      </w:r>
      <w:r>
        <w:t xml:space="preserve">, the queen of the</w:t>
      </w:r>
      <w:r>
        <w:t xml:space="preserve"> </w:t>
      </w:r>
      <w:r>
        <w:rPr>
          <w:b/>
          <w:bCs/>
        </w:rPr>
        <w:t xml:space="preserve">Pallava</w:t>
      </w:r>
      <w:r>
        <w:t xml:space="preserve"> </w:t>
      </w:r>
      <w:r>
        <w:t xml:space="preserve">king.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1.68 by Hultzsch 1890 converted to DHARMA conventions by Emmanuel Francis.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Hultzsch, Eugen Julius Theodor. 1890.</w:t>
      </w:r>
      <w:r>
        <w:t xml:space="preserve"> </w:t>
      </w:r>
      <w:r>
        <w:rPr>
          <w:i/>
          <w:iCs/>
        </w:rPr>
        <w:t xml:space="preserve">South-Indian inscriptions, Tamil and Sanskrit, from stone and copper-plate edicts at Mamallapuram, Kanchipuram, in the North Arcot district, and other parts of the Madras Presidency, chiefly collected in 1886-87. Volume I</w:t>
      </w:r>
      <w:r>
        <w:t xml:space="preserve">. South Indian Inscriptions 1. Madras: Government Press. Pages 100–101, item 68.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See page 97, above.</w:t>
      </w:r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The historical part of this inscription is identical with that of No.</w:t>
      </w:r>
      <w:r>
        <w:t xml:space="preserve"> </w:t>
      </w:r>
      <w:hyperlink r:id="rId10">
        <w:r>
          <w:rPr>
            <w:rStyle w:val="Hyperlink"/>
          </w:rPr>
          <w:t xml:space="preserve">67</w:t>
        </w:r>
      </w:hyperlink>
      <w:r>
        <w:t xml:space="preserve">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texts/INSSIIv01p0i00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texts/INSSIIv01p0i0067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1.68: original edition by Eugen Hultzsch</dc:title>
  <dc:creator>Emmanuel Francis</dc:creator>
  <cp:keywords/>
  <dcterms:created xsi:type="dcterms:W3CDTF">2026-10-15T11:31:27Z</dcterms:created>
  <dcterms:modified xsi:type="dcterms:W3CDTF">2026-10-15T11:31:27Z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