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SII 1.67: original edition by Eugen Hultzsch</w:t>
      </w:r>
    </w:p>
    <w:p>
      <w:pPr>
        <w:pStyle w:val="Author"/>
      </w:pPr>
      <w:r>
        <w:t xml:space="preserve">Emmanuel Francis</w:t>
      </w:r>
    </w:p>
    <w:p>
      <w:pPr>
        <w:pStyle w:val="FirstParagraph"/>
      </w:pPr>
      <w:r>
        <w:t xml:space="preserve">Alternative title: PART II. TAMIL AND GRANTHA INSCRIPTIONS. IV. INSCRIPTIONS AT TIRUMALAI NEAR POLŪR. No. 67. ON A PIECE OF ROCK ON THE TOP OF THE TIRUMALAI HILL</w:t>
      </w:r>
    </w:p>
    <w:p>
      <w:pPr>
        <w:pStyle w:val="BodyText"/>
      </w:pPr>
      <w:r>
        <w:t xml:space="preserve">Author of digital edition: Emmanuel Francis</w:t>
      </w:r>
    </w:p>
    <w:p>
      <w:pPr>
        <w:pStyle w:val="BodyText"/>
      </w:pPr>
      <w:r>
        <w:t xml:space="preserve">Identifier: DHARMA_INSSIIv01p0i0067</w:t>
      </w:r>
    </w:p>
    <w:p>
      <w:pPr>
        <w:pStyle w:val="BodyText"/>
      </w:pPr>
      <w:r>
        <w:t xml:space="preserve">Repository: SII original (south-indian-inscriptions)</w:t>
      </w:r>
    </w:p>
    <w:p>
      <w:pPr>
        <w:pStyle w:val="BodyText"/>
      </w:pPr>
      <w:r>
        <w:t xml:space="preserve">File path: SII_B_clean/SII01/DHARMA_INSSIIv01p0i0067.xml</w:t>
      </w:r>
    </w:p>
    <w:p>
      <w:pPr>
        <w:pStyle w:val="BodyText"/>
      </w:pPr>
      <w:r>
        <w:t xml:space="preserve">Language: Tamil [Grantha, Tamil]</w:t>
      </w:r>
    </w:p>
    <w:p>
      <w:pPr>
        <w:pStyle w:val="BodyText"/>
      </w:pPr>
      <w:r>
        <w:t xml:space="preserve">Commit: 2026-10-13 10:44 (c108132), last modified 2026-09-29 11:08 (2b36d53)</w:t>
      </w:r>
    </w:p>
    <w:p>
      <w:pPr>
        <w:pStyle w:val="Heading1"/>
      </w:pPr>
      <w:r>
        <w:t xml:space="preserve">Summary</w:t>
      </w:r>
    </w:p>
    <w:p>
      <w:pPr>
        <w:pStyle w:val="FirstParagraph"/>
      </w:pPr>
      <w:r>
        <w:t xml:space="preserve">This inscription is dated in the 12th year of</w:t>
      </w:r>
      <w:r>
        <w:t xml:space="preserve"> </w:t>
      </w:r>
      <w:r>
        <w:rPr>
          <w:b/>
          <w:bCs/>
        </w:rPr>
        <w:t xml:space="preserve">Ko-Parakesarivarman</w:t>
      </w:r>
      <w:r>
        <w:t xml:space="preserve">,</w:t>
      </w:r>
      <w:r>
        <w:t xml:space="preserve"> </w:t>
      </w:r>
      <w:r>
        <w:rPr>
          <w:i/>
          <w:iCs/>
        </w:rPr>
        <w:t xml:space="preserve">alias</w:t>
      </w:r>
      <w:r>
        <w:t xml:space="preserve"> </w:t>
      </w:r>
      <w:r>
        <w:rPr>
          <w:b/>
          <w:bCs/>
        </w:rPr>
        <w:t xml:space="preserve">Uḍaiyār Rājendra-Choḷa-deva</w:t>
      </w:r>
      <w:r>
        <w:t xml:space="preserve">. It opens with a long list of the countries which the king had conquered. Among these we find “the seven and a half</w:t>
      </w:r>
      <w:r>
        <w:t xml:space="preserve"> </w:t>
      </w:r>
      <w:r>
        <w:rPr>
          <w:i/>
          <w:iCs/>
        </w:rPr>
        <w:t xml:space="preserve">lakshas (of revenue</w:t>
      </w:r>
      <w:r>
        <w:t xml:space="preserve">) of</w:t>
      </w:r>
      <w:r>
        <w:t xml:space="preserve"> </w:t>
      </w:r>
      <w:r>
        <w:rPr>
          <w:b/>
          <w:bCs/>
        </w:rPr>
        <w:t xml:space="preserve">Iraṭṭapāḍi</w:t>
      </w:r>
      <w:r>
        <w:t xml:space="preserve">,” which</w:t>
      </w:r>
      <w:r>
        <w:t xml:space="preserve"> </w:t>
      </w:r>
      <w:r>
        <w:rPr>
          <w:b/>
          <w:bCs/>
        </w:rPr>
        <w:t xml:space="preserve">Rājendra-Choḷa</w:t>
      </w:r>
      <w:r>
        <w:t xml:space="preserve"> </w:t>
      </w:r>
      <w:r>
        <w:t xml:space="preserve">took from</w:t>
      </w:r>
      <w:r>
        <w:t xml:space="preserve"> </w:t>
      </w:r>
      <w:r>
        <w:rPr>
          <w:b/>
          <w:bCs/>
        </w:rPr>
        <w:t xml:space="preserve">Jayasiṁha</w:t>
      </w:r>
      <w:r>
        <w:t xml:space="preserve">. This conquest must have taken place between his 7th and 10th years, as another of Rājendra-Choḷa’s inscriptions, which is dated in his 7th year,</w:t>
      </w:r>
      <w:r>
        <w:rPr>
          <w:rStyle w:val="FootnoteReference"/>
        </w:rPr>
        <w:footnoteReference w:id="9"/>
      </w:r>
      <w:r>
        <w:t xml:space="preserve"> </w:t>
      </w:r>
      <w:r>
        <w:t xml:space="preserve">does not mention it, while it occurs in some unpublished Tanjore inscriptions of the 10th year.</w:t>
      </w:r>
      <w:r>
        <w:rPr>
          <w:rStyle w:val="FootnoteReference"/>
        </w:rPr>
        <w:footnoteReference w:id="10"/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Jayasiṁha</w:t>
      </w:r>
      <w:r>
        <w:t xml:space="preserve"> </w:t>
      </w:r>
      <w:r>
        <w:t xml:space="preserve">of the present inscription can be no other than the Western</w:t>
      </w:r>
      <w:r>
        <w:t xml:space="preserve"> </w:t>
      </w:r>
      <w:r>
        <w:rPr>
          <w:b/>
          <w:bCs/>
        </w:rPr>
        <w:t xml:space="preserve">Chālukya</w:t>
      </w:r>
      <w:r>
        <w:t xml:space="preserve"> </w:t>
      </w:r>
      <w:r>
        <w:t xml:space="preserve">king</w:t>
      </w:r>
      <w:r>
        <w:t xml:space="preserve"> </w:t>
      </w:r>
      <w:r>
        <w:rPr>
          <w:b/>
          <w:bCs/>
        </w:rPr>
        <w:t xml:space="preserve">Jayasiṁha</w:t>
      </w:r>
      <w:r>
        <w:t xml:space="preserve"> </w:t>
      </w:r>
      <w:r>
        <w:t xml:space="preserve">III. (about Śaka 940 to about 964), who, according to the Miraj grant, “warred against the Chola,”</w:t>
      </w:r>
      <w:r>
        <w:rPr>
          <w:rStyle w:val="FootnoteReference"/>
        </w:rPr>
        <w:footnoteReference w:id="11"/>
      </w:r>
      <w:r>
        <w:t xml:space="preserve"> </w:t>
      </w:r>
      <w:r>
        <w:t xml:space="preserve">and who, in another inscription, is called “the lion to the elephant</w:t>
      </w:r>
      <w:r>
        <w:t xml:space="preserve"> </w:t>
      </w:r>
      <w:r>
        <w:rPr>
          <w:b/>
          <w:bCs/>
        </w:rPr>
        <w:t xml:space="preserve">Rājendra-Choḷa</w:t>
      </w:r>
      <w:r>
        <w:t xml:space="preserve">.”</w:t>
      </w:r>
      <w:r>
        <w:rPr>
          <w:rStyle w:val="FootnoteReference"/>
        </w:rPr>
        <w:footnoteReference w:id="12"/>
      </w:r>
      <w:r>
        <w:t xml:space="preserve"> </w:t>
      </w:r>
      <w:r>
        <w:t xml:space="preserve">Consequently, “the seven and a half</w:t>
      </w:r>
      <w:r>
        <w:t xml:space="preserve"> </w:t>
      </w:r>
      <w:r>
        <w:rPr>
          <w:i/>
          <w:iCs/>
        </w:rPr>
        <w:t xml:space="preserve">lakshas</w:t>
      </w:r>
      <w:r>
        <w:t xml:space="preserve">. of</w:t>
      </w:r>
      <w:r>
        <w:t xml:space="preserve"> </w:t>
      </w:r>
      <w:r>
        <w:rPr>
          <w:b/>
          <w:bCs/>
        </w:rPr>
        <w:t xml:space="preserve">Iraṭṭapāḍi</w:t>
      </w:r>
      <w:r>
        <w:t xml:space="preserve">” have to be taken as a designation of the</w:t>
      </w:r>
      <w:r>
        <w:t xml:space="preserve"> </w:t>
      </w:r>
      <w:r>
        <w:rPr>
          <w:b/>
          <w:bCs/>
        </w:rPr>
        <w:t xml:space="preserve">Chalukyan</w:t>
      </w:r>
      <w:r>
        <w:t xml:space="preserve"> </w:t>
      </w:r>
      <w:r>
        <w:t xml:space="preserve">empire,</w:t>
      </w:r>
      <w:r>
        <w:rPr>
          <w:rStyle w:val="FootnoteReference"/>
        </w:rPr>
        <w:footnoteReference w:id="13"/>
      </w:r>
      <w:r>
        <w:t xml:space="preserve"> </w:t>
      </w:r>
      <w:r>
        <w:t xml:space="preserve">which, in two Eastern</w:t>
      </w:r>
      <w:r>
        <w:t xml:space="preserve"> </w:t>
      </w:r>
      <w:r>
        <w:rPr>
          <w:b/>
          <w:bCs/>
        </w:rPr>
        <w:t xml:space="preserve">Chalukya</w:t>
      </w:r>
      <w:r>
        <w:t xml:space="preserve"> </w:t>
      </w:r>
      <w:r>
        <w:t xml:space="preserve">grants, is called “the Dekhan which yields seven and a half</w:t>
      </w:r>
      <w:r>
        <w:t xml:space="preserve"> </w:t>
      </w:r>
      <w:r>
        <w:rPr>
          <w:i/>
          <w:iCs/>
        </w:rPr>
        <w:t xml:space="preserve">lakshas</w:t>
      </w:r>
      <w:r>
        <w:t xml:space="preserve">.”</w:t>
      </w:r>
      <w:r>
        <w:rPr>
          <w:rStyle w:val="FootnoteReference"/>
        </w:rPr>
        <w:footnoteReference w:id="14"/>
      </w:r>
      <w:r>
        <w:t xml:space="preserve"> </w:t>
      </w:r>
      <w:r>
        <w:t xml:space="preserve">As both</w:t>
      </w:r>
      <w:r>
        <w:t xml:space="preserve"> </w:t>
      </w:r>
      <w:r>
        <w:rPr>
          <w:b/>
          <w:bCs/>
        </w:rPr>
        <w:t xml:space="preserve">Rājendra-Choḷa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Jayasiṁha</w:t>
      </w:r>
      <w:r>
        <w:t xml:space="preserve"> </w:t>
      </w:r>
      <w:r>
        <w:t xml:space="preserve">III. boast of having conquered the other, it must be assumed that either the success was on both sides alternately, or that neither of the two obtained a lasting advantage. If, in order to identify</w:t>
      </w:r>
      <w:r>
        <w:t xml:space="preserve"> </w:t>
      </w:r>
      <w:r>
        <w:rPr>
          <w:b/>
          <w:bCs/>
        </w:rPr>
        <w:t xml:space="preserve">Rājendra-Choḷa</w:t>
      </w:r>
      <w:r>
        <w:t xml:space="preserve">, the enemy of</w:t>
      </w:r>
      <w:r>
        <w:t xml:space="preserve"> </w:t>
      </w:r>
      <w:r>
        <w:rPr>
          <w:b/>
          <w:bCs/>
        </w:rPr>
        <w:t xml:space="preserve">Jayasiṁha</w:t>
      </w:r>
      <w:r>
        <w:t xml:space="preserve"> </w:t>
      </w:r>
      <w:r>
        <w:t xml:space="preserve">III., we turn to the table of the Eastern</w:t>
      </w:r>
      <w:r>
        <w:t xml:space="preserve"> </w:t>
      </w:r>
      <w:r>
        <w:rPr>
          <w:b/>
          <w:bCs/>
        </w:rPr>
        <w:t xml:space="preserve">Chalukya</w:t>
      </w:r>
      <w:r>
        <w:t xml:space="preserve"> </w:t>
      </w:r>
      <w:r>
        <w:t xml:space="preserve">Dynasty, which is found on page 32, above, we find that he cannot be that</w:t>
      </w:r>
      <w:r>
        <w:t xml:space="preserve"> </w:t>
      </w:r>
      <w:r>
        <w:rPr>
          <w:b/>
          <w:bCs/>
        </w:rPr>
        <w:t xml:space="preserve">Rājendra-Choḍa</w:t>
      </w:r>
      <w:r>
        <w:t xml:space="preserve">, who reigned from Śaka 985 to 1034. Undoubtedly, the enemy of</w:t>
      </w:r>
      <w:r>
        <w:t xml:space="preserve"> </w:t>
      </w:r>
      <w:r>
        <w:rPr>
          <w:b/>
          <w:bCs/>
        </w:rPr>
        <w:t xml:space="preserve">Jayasiṁha</w:t>
      </w:r>
      <w:r>
        <w:t xml:space="preserve"> </w:t>
      </w:r>
      <w:r>
        <w:t xml:space="preserve">III. was that</w:t>
      </w:r>
      <w:r>
        <w:t xml:space="preserve"> </w:t>
      </w:r>
      <w:r>
        <w:rPr>
          <w:b/>
          <w:bCs/>
        </w:rPr>
        <w:t xml:space="preserve">Rājendra-Choḍa</w:t>
      </w:r>
      <w:r>
        <w:t xml:space="preserve"> </w:t>
      </w:r>
      <w:r>
        <w:t xml:space="preserve">of the</w:t>
      </w:r>
      <w:r>
        <w:t xml:space="preserve"> </w:t>
      </w:r>
      <w:r>
        <w:rPr>
          <w:i/>
          <w:iCs/>
        </w:rPr>
        <w:t xml:space="preserve">Sūryavaṁśa</w:t>
      </w:r>
      <w:r>
        <w:t xml:space="preserve">, whose daughter</w:t>
      </w:r>
      <w:r>
        <w:t xml:space="preserve"> </w:t>
      </w:r>
      <w:r>
        <w:rPr>
          <w:b/>
          <w:bCs/>
        </w:rPr>
        <w:t xml:space="preserve">Ammaṅga-devī</w:t>
      </w:r>
      <w:r>
        <w:t xml:space="preserve"> </w:t>
      </w:r>
      <w:r>
        <w:t xml:space="preserve">was married to the Eastern Chalukya king</w:t>
      </w:r>
      <w:r>
        <w:t xml:space="preserve"> </w:t>
      </w:r>
      <w:r>
        <w:rPr>
          <w:b/>
          <w:bCs/>
        </w:rPr>
        <w:t xml:space="preserve">Rājarāja</w:t>
      </w:r>
      <w:r>
        <w:t xml:space="preserve"> </w:t>
      </w:r>
      <w:r>
        <w:t xml:space="preserve">I.</w:t>
      </w:r>
      <w:r>
        <w:rPr>
          <w:rStyle w:val="FootnoteReference"/>
        </w:rPr>
        <w:footnoteReference w:id="16"/>
      </w:r>
      <w:r>
        <w:t xml:space="preserve"> </w:t>
      </w:r>
      <w:r>
        <w:t xml:space="preserve">(Śaka 944 to 985). He is further identical with that</w:t>
      </w:r>
      <w:r>
        <w:t xml:space="preserve"> </w:t>
      </w:r>
      <w:r>
        <w:rPr>
          <w:b/>
          <w:bCs/>
        </w:rPr>
        <w:t xml:space="preserve">Rājendra-Choḍa</w:t>
      </w:r>
      <w:r>
        <w:t xml:space="preserve">, who was the son of</w:t>
      </w:r>
      <w:r>
        <w:t xml:space="preserve"> </w:t>
      </w:r>
      <w:r>
        <w:rPr>
          <w:b/>
          <w:bCs/>
        </w:rPr>
        <w:t xml:space="preserve">Rājarāja</w:t>
      </w:r>
      <w:r>
        <w:t xml:space="preserve"> </w:t>
      </w:r>
      <w:r>
        <w:t xml:space="preserve">of the</w:t>
      </w:r>
      <w:r>
        <w:t xml:space="preserve"> </w:t>
      </w:r>
      <w:r>
        <w:rPr>
          <w:i/>
          <w:iCs/>
        </w:rPr>
        <w:t xml:space="preserve">Sūryavaṁśa</w:t>
      </w:r>
      <w:r>
        <w:t xml:space="preserve">, and whose younger sister</w:t>
      </w:r>
      <w:r>
        <w:t xml:space="preserve"> </w:t>
      </w:r>
      <w:r>
        <w:rPr>
          <w:b/>
          <w:bCs/>
        </w:rPr>
        <w:t xml:space="preserve">Kūndavā</w:t>
      </w:r>
      <w:r>
        <w:t xml:space="preserve"> </w:t>
      </w:r>
      <w:r>
        <w:t xml:space="preserve">was married to the Eastern Chalukya king</w:t>
      </w:r>
      <w:r>
        <w:t xml:space="preserve"> </w:t>
      </w:r>
      <w:r>
        <w:rPr>
          <w:b/>
          <w:bCs/>
        </w:rPr>
        <w:t xml:space="preserve">Vimalāditya</w:t>
      </w:r>
      <w:r>
        <w:rPr>
          <w:rStyle w:val="FootnoteReference"/>
        </w:rPr>
        <w:footnoteReference w:id="17"/>
      </w:r>
      <w:r>
        <w:t xml:space="preserve"> </w:t>
      </w:r>
      <w:r>
        <w:t xml:space="preserve">(Śaka 937 (?) to 944). From certain Tanjore inscriptions it can be safely concluded, that he was the successor of his father</w:t>
      </w:r>
      <w:r>
        <w:t xml:space="preserve"> </w:t>
      </w:r>
      <w:r>
        <w:rPr>
          <w:b/>
          <w:bCs/>
        </w:rPr>
        <w:t xml:space="preserve">Rājarāja-deva</w:t>
      </w:r>
      <w:r>
        <w:t xml:space="preserve">, whose time I have tried to fix in the introduction of No. 40, above.</w:t>
      </w:r>
      <w:r>
        <w:t xml:space="preserve"> </w:t>
      </w:r>
      <w:r>
        <w:rPr>
          <w:b/>
          <w:bCs/>
        </w:rPr>
        <w:t xml:space="preserve">Rājendra-Choḷa’s</w:t>
      </w:r>
      <w:r>
        <w:t xml:space="preserve"> </w:t>
      </w:r>
      <w:r>
        <w:t xml:space="preserve">name occurs also on the seal of the large Leyden grant, and he is in all probability identical with the</w:t>
      </w:r>
      <w:r>
        <w:t xml:space="preserve"> </w:t>
      </w:r>
      <w:r>
        <w:rPr>
          <w:b/>
          <w:bCs/>
        </w:rPr>
        <w:t xml:space="preserve">Madhurāntaka</w:t>
      </w:r>
      <w:r>
        <w:t xml:space="preserve">,</w:t>
      </w:r>
      <w:r>
        <w:t xml:space="preserve"> </w:t>
      </w:r>
      <w:r>
        <w:rPr>
          <w:i/>
          <w:iCs/>
        </w:rPr>
        <w:t xml:space="preserve">i.e.</w:t>
      </w:r>
      <w:r>
        <w:t xml:space="preserve">, “the destroyer of Madura,” who issued that grant after the death of his father</w:t>
      </w:r>
      <w:r>
        <w:t xml:space="preserve"> </w:t>
      </w:r>
      <w:r>
        <w:rPr>
          <w:b/>
          <w:bCs/>
        </w:rPr>
        <w:t xml:space="preserve">Rājarāja</w:t>
      </w:r>
      <w:r>
        <w:t xml:space="preserve">.</w:t>
      </w:r>
      <w:r>
        <w:rPr>
          <w:rStyle w:val="FootnoteReference"/>
        </w:rPr>
        <w:footnoteReference w:id="18"/>
      </w:r>
    </w:p>
    <w:p>
      <w:pPr>
        <w:pStyle w:val="BodyText"/>
      </w:pPr>
      <w:r>
        <w:t xml:space="preserve">Among the other countries, which</w:t>
      </w:r>
      <w:r>
        <w:t xml:space="preserve"> </w:t>
      </w:r>
      <w:r>
        <w:rPr>
          <w:b/>
          <w:bCs/>
        </w:rPr>
        <w:t xml:space="preserve">Rājendra-Choḷa</w:t>
      </w:r>
      <w:r>
        <w:t xml:space="preserve"> </w:t>
      </w:r>
      <w:r>
        <w:t xml:space="preserve">is said to have conquered, the two first in the list are</w:t>
      </w:r>
      <w:r>
        <w:t xml:space="preserve"> </w:t>
      </w:r>
      <w:r>
        <w:rPr>
          <w:b/>
          <w:bCs/>
        </w:rPr>
        <w:t xml:space="preserve">Iḍaituṟai-nāḍu</w:t>
      </w:r>
      <w:r>
        <w:t xml:space="preserve">,</w:t>
      </w:r>
      <w:r>
        <w:t xml:space="preserve"> </w:t>
      </w:r>
      <w:r>
        <w:rPr>
          <w:i/>
          <w:iCs/>
        </w:rPr>
        <w:t xml:space="preserve">i.e.</w:t>
      </w:r>
      <w:r>
        <w:t xml:space="preserve">, the country of Eḍatore, the head-quarters of a tālluqa in the Maisūr District, and</w:t>
      </w:r>
      <w:r>
        <w:t xml:space="preserve"> </w:t>
      </w:r>
      <w:r>
        <w:rPr>
          <w:b/>
          <w:bCs/>
        </w:rPr>
        <w:t xml:space="preserve">Vaṉavāśi</w:t>
      </w:r>
      <w:r>
        <w:t xml:space="preserve">,</w:t>
      </w:r>
      <w:r>
        <w:t xml:space="preserve"> </w:t>
      </w:r>
      <w:r>
        <w:rPr>
          <w:i/>
          <w:iCs/>
        </w:rPr>
        <w:t xml:space="preserve">i.e.</w:t>
      </w:r>
      <w:r>
        <w:t xml:space="preserve">, Banawāsi in the North Kanara District of the Bombay Presidency. With</w:t>
      </w:r>
      <w:r>
        <w:t xml:space="preserve"> </w:t>
      </w:r>
      <w:r>
        <w:rPr>
          <w:b/>
          <w:bCs/>
        </w:rPr>
        <w:t xml:space="preserve">Koḷḷippākkai</w:t>
      </w:r>
      <w:r>
        <w:t xml:space="preserve"> </w:t>
      </w:r>
      <w:r>
        <w:t xml:space="preserve">compare</w:t>
      </w:r>
      <w:r>
        <w:t xml:space="preserve"> </w:t>
      </w:r>
      <w:r>
        <w:rPr>
          <w:b/>
          <w:bCs/>
        </w:rPr>
        <w:t xml:space="preserve">Kollipāke</w:t>
      </w:r>
      <w:r>
        <w:t xml:space="preserve">, which, according to Mr. Fleet,</w:t>
      </w:r>
      <w:r>
        <w:rPr>
          <w:rStyle w:val="FootnoteReference"/>
        </w:rPr>
        <w:footnoteReference w:id="19"/>
      </w:r>
      <w:r>
        <w:t xml:space="preserve"> </w:t>
      </w:r>
      <w:r>
        <w:t xml:space="preserve">was one of the capitals of the Western</w:t>
      </w:r>
      <w:r>
        <w:t xml:space="preserve"> </w:t>
      </w:r>
      <w:r>
        <w:rPr>
          <w:b/>
          <w:bCs/>
        </w:rPr>
        <w:t xml:space="preserve">Chālukya</w:t>
      </w:r>
      <w:r>
        <w:t xml:space="preserve"> </w:t>
      </w:r>
      <w:r>
        <w:t xml:space="preserve">king</w:t>
      </w:r>
      <w:r>
        <w:t xml:space="preserve"> </w:t>
      </w:r>
      <w:r>
        <w:rPr>
          <w:b/>
          <w:bCs/>
        </w:rPr>
        <w:t xml:space="preserve">Jayasiṁha</w:t>
      </w:r>
      <w:r>
        <w:t xml:space="preserve"> </w:t>
      </w:r>
      <w:r>
        <w:t xml:space="preserve">III.</w:t>
      </w:r>
      <w:r>
        <w:t xml:space="preserve"> </w:t>
      </w:r>
      <w:r>
        <w:rPr>
          <w:b/>
          <w:bCs/>
        </w:rPr>
        <w:t xml:space="preserve">Īṛam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Īṛa-maṇḍalam</w:t>
      </w:r>
      <w:r>
        <w:t xml:space="preserve"> </w:t>
      </w:r>
      <w:r>
        <w:t xml:space="preserve">is Ceylon. “The king of the South” (</w:t>
      </w:r>
      <w:r>
        <w:rPr>
          <w:i/>
          <w:iCs/>
        </w:rPr>
        <w:t xml:space="preserve">Teṉṉavaṉ</w:t>
      </w:r>
      <w:r>
        <w:t xml:space="preserve">) is the</w:t>
      </w:r>
      <w:r>
        <w:t xml:space="preserve"> </w:t>
      </w:r>
      <w:r>
        <w:rPr>
          <w:b/>
          <w:bCs/>
        </w:rPr>
        <w:t xml:space="preserve">Pāṇḍya</w:t>
      </w:r>
      <w:r>
        <w:t xml:space="preserve"> </w:t>
      </w:r>
      <w:r>
        <w:t xml:space="preserve">king. Of him the inscription says, that he had formerly given the crown of</w:t>
      </w:r>
      <w:r>
        <w:t xml:space="preserve"> </w:t>
      </w:r>
      <w:r>
        <w:rPr>
          <w:b/>
          <w:bCs/>
        </w:rPr>
        <w:t xml:space="preserve">Sundara</w:t>
      </w:r>
      <w:r>
        <w:t xml:space="preserve"> </w:t>
      </w:r>
      <w:r>
        <w:t xml:space="preserve">to the king of Ceylon, from whom</w:t>
      </w:r>
      <w:r>
        <w:t xml:space="preserve"> </w:t>
      </w:r>
      <w:r>
        <w:rPr>
          <w:b/>
          <w:bCs/>
        </w:rPr>
        <w:t xml:space="preserve">Rājendra-Choḷa</w:t>
      </w:r>
      <w:r>
        <w:t xml:space="preserve"> </w:t>
      </w:r>
      <w:r>
        <w:t xml:space="preserve">took that crown of Sundara. The name</w:t>
      </w:r>
      <w:r>
        <w:t xml:space="preserve"> </w:t>
      </w:r>
      <w:r>
        <w:rPr>
          <w:b/>
          <w:bCs/>
        </w:rPr>
        <w:t xml:space="preserve">Sundara</w:t>
      </w:r>
      <w:r>
        <w:t xml:space="preserve"> </w:t>
      </w:r>
      <w:r>
        <w:t xml:space="preserve">occurs in the traditional lists of</w:t>
      </w:r>
      <w:r>
        <w:t xml:space="preserve"> </w:t>
      </w:r>
      <w:r>
        <w:rPr>
          <w:b/>
          <w:bCs/>
        </w:rPr>
        <w:t xml:space="preserve">Pāṇḍya</w:t>
      </w:r>
      <w:r>
        <w:t xml:space="preserve"> </w:t>
      </w:r>
      <w:r>
        <w:t xml:space="preserve">kings.</w:t>
      </w:r>
      <w:r>
        <w:rPr>
          <w:rStyle w:val="FootnoteReference"/>
        </w:rPr>
        <w:footnoteReference w:id="20"/>
      </w:r>
      <w:r>
        <w:t xml:space="preserve"> </w:t>
      </w:r>
      <w:r>
        <w:t xml:space="preserve">In the present inscription, the term “the crown of</w:t>
      </w:r>
      <w:r>
        <w:t xml:space="preserve"> </w:t>
      </w:r>
      <w:r>
        <w:rPr>
          <w:b/>
          <w:bCs/>
        </w:rPr>
        <w:t xml:space="preserve">Sundara</w:t>
      </w:r>
      <w:r>
        <w:t xml:space="preserve">” seems to be used in the sense of “the crown of the</w:t>
      </w:r>
      <w:r>
        <w:t xml:space="preserve"> </w:t>
      </w:r>
      <w:r>
        <w:rPr>
          <w:b/>
          <w:bCs/>
        </w:rPr>
        <w:t xml:space="preserve">Pāṇḍya</w:t>
      </w:r>
      <w:r>
        <w:t xml:space="preserve"> </w:t>
      </w:r>
      <w:r>
        <w:t xml:space="preserve">king,” and the composer of the historical part of the inscription seems to have known</w:t>
      </w:r>
      <w:r>
        <w:t xml:space="preserve"> </w:t>
      </w:r>
      <w:r>
        <w:rPr>
          <w:b/>
          <w:bCs/>
        </w:rPr>
        <w:t xml:space="preserve">Sundara</w:t>
      </w:r>
      <w:r>
        <w:t xml:space="preserve"> </w:t>
      </w:r>
      <w:r>
        <w:t xml:space="preserve">as a former famous member of the</w:t>
      </w:r>
      <w:r>
        <w:t xml:space="preserve"> </w:t>
      </w:r>
      <w:r>
        <w:rPr>
          <w:b/>
          <w:bCs/>
        </w:rPr>
        <w:t xml:space="preserve">Pāṇḍya</w:t>
      </w:r>
      <w:r>
        <w:t xml:space="preserve"> </w:t>
      </w:r>
      <w:r>
        <w:t xml:space="preserve">dynasty. But no conclusions as to the date of</w:t>
      </w:r>
      <w:r>
        <w:t xml:space="preserve"> </w:t>
      </w:r>
      <w:r>
        <w:rPr>
          <w:b/>
          <w:bCs/>
        </w:rPr>
        <w:t xml:space="preserve">Sundara</w:t>
      </w:r>
      <w:r>
        <w:t xml:space="preserve"> </w:t>
      </w:r>
      <w:r>
        <w:t xml:space="preserve">can be drawn from this mention of his name. The names of the</w:t>
      </w:r>
      <w:r>
        <w:t xml:space="preserve"> </w:t>
      </w:r>
      <w:r>
        <w:rPr>
          <w:b/>
          <w:bCs/>
        </w:rPr>
        <w:t xml:space="preserve">Pāṇḍya</w:t>
      </w:r>
      <w:r>
        <w:t xml:space="preserve"> </w:t>
      </w:r>
      <w:r>
        <w:t xml:space="preserve">king, who was conquered by the king of Ceylon, and of the king of Ceylon, who was conquered by</w:t>
      </w:r>
      <w:r>
        <w:t xml:space="preserve"> </w:t>
      </w:r>
      <w:r>
        <w:rPr>
          <w:b/>
          <w:bCs/>
        </w:rPr>
        <w:t xml:space="preserve">Rājendra-Choḷa</w:t>
      </w:r>
      <w:r>
        <w:t xml:space="preserve">, are not mentioned. The inscription further records that Rājendra-Choḷa vanquished the</w:t>
      </w:r>
      <w:r>
        <w:t xml:space="preserve"> </w:t>
      </w:r>
      <w:r>
        <w:rPr>
          <w:b/>
          <w:bCs/>
        </w:rPr>
        <w:t xml:space="preserve">Keraḷa</w:t>
      </w:r>
      <w:r>
        <w:t xml:space="preserve">,</w:t>
      </w:r>
      <w:r>
        <w:t xml:space="preserve"> </w:t>
      </w:r>
      <w:r>
        <w:rPr>
          <w:i/>
          <w:iCs/>
        </w:rPr>
        <w:t xml:space="preserve">i.e.</w:t>
      </w:r>
      <w:r>
        <w:t xml:space="preserve">, the king of Malabar. With</w:t>
      </w:r>
      <w:r>
        <w:t xml:space="preserve"> </w:t>
      </w:r>
      <w:r>
        <w:rPr>
          <w:b/>
          <w:bCs/>
        </w:rPr>
        <w:t xml:space="preserve">Śakkara-koṭṭam</w:t>
      </w:r>
      <w:r>
        <w:t xml:space="preserve">, whose king</w:t>
      </w:r>
      <w:r>
        <w:t xml:space="preserve"> </w:t>
      </w:r>
      <w:r>
        <w:rPr>
          <w:b/>
          <w:bCs/>
        </w:rPr>
        <w:t xml:space="preserve">Vikrama-Vīra</w:t>
      </w:r>
      <w:r>
        <w:t xml:space="preserve"> </w:t>
      </w:r>
      <w:r>
        <w:t xml:space="preserve">was defeated by Rājendra-Choḷa, compare</w:t>
      </w:r>
      <w:r>
        <w:t xml:space="preserve"> </w:t>
      </w:r>
      <w:r>
        <w:rPr>
          <w:b/>
          <w:bCs/>
        </w:rPr>
        <w:t xml:space="preserve">Chakrakoṭa</w:t>
      </w:r>
      <w:r>
        <w:t xml:space="preserve">, whose lord was conquered by the Western</w:t>
      </w:r>
      <w:r>
        <w:t xml:space="preserve"> </w:t>
      </w:r>
      <w:r>
        <w:rPr>
          <w:b/>
          <w:bCs/>
        </w:rPr>
        <w:t xml:space="preserve">Chālukya</w:t>
      </w:r>
      <w:r>
        <w:t xml:space="preserve"> </w:t>
      </w:r>
      <w:r>
        <w:t xml:space="preserve">king</w:t>
      </w:r>
      <w:r>
        <w:t xml:space="preserve"> </w:t>
      </w:r>
      <w:r>
        <w:rPr>
          <w:b/>
          <w:bCs/>
        </w:rPr>
        <w:t xml:space="preserve">Vikramāditya</w:t>
      </w:r>
      <w:r>
        <w:t xml:space="preserve"> </w:t>
      </w:r>
      <w:r>
        <w:t xml:space="preserve">VI.,</w:t>
      </w:r>
      <w:r>
        <w:rPr>
          <w:rStyle w:val="FootnoteReference"/>
        </w:rPr>
        <w:footnoteReference w:id="21"/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Chakragoṭṭa</w:t>
      </w:r>
      <w:r>
        <w:t xml:space="preserve">, which was taken by the</w:t>
      </w:r>
      <w:r>
        <w:t xml:space="preserve"> </w:t>
      </w:r>
      <w:r>
        <w:rPr>
          <w:b/>
          <w:bCs/>
        </w:rPr>
        <w:t xml:space="preserve">Hoysaḷa</w:t>
      </w:r>
      <w:r>
        <w:t xml:space="preserve"> </w:t>
      </w:r>
      <w:r>
        <w:t xml:space="preserve">king</w:t>
      </w:r>
      <w:r>
        <w:t xml:space="preserve"> </w:t>
      </w:r>
      <w:r>
        <w:rPr>
          <w:b/>
          <w:bCs/>
        </w:rPr>
        <w:t xml:space="preserve">Vishṇuvardhana.</w:t>
      </w:r>
      <w:r>
        <w:rPr>
          <w:rStyle w:val="FootnoteReference"/>
        </w:rPr>
        <w:footnoteReference w:id="22"/>
      </w:r>
      <w:r>
        <w:rPr>
          <w:b/>
          <w:bCs/>
        </w:rPr>
        <w:t xml:space="preserve"> </w:t>
      </w:r>
      <w:r>
        <w:rPr>
          <w:b/>
          <w:bCs/>
        </w:rPr>
        <w:t xml:space="preserve">Madura-maṇḍalam</w:t>
      </w:r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Pāṇḍya</w:t>
      </w:r>
      <w:r>
        <w:t xml:space="preserve"> </w:t>
      </w:r>
      <w:r>
        <w:t xml:space="preserve">country, the capital of which was Madura.</w:t>
      </w:r>
      <w:r>
        <w:t xml:space="preserve"> </w:t>
      </w:r>
      <w:r>
        <w:rPr>
          <w:b/>
          <w:bCs/>
        </w:rPr>
        <w:t xml:space="preserve">Oḍḍavishaya</w:t>
      </w:r>
      <w:r>
        <w:t xml:space="preserve">, the country of the</w:t>
      </w:r>
      <w:r>
        <w:t xml:space="preserve"> </w:t>
      </w:r>
      <w:r>
        <w:rPr>
          <w:b/>
          <w:bCs/>
        </w:rPr>
        <w:t xml:space="preserve">Oḍḍas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Oḍras</w:t>
      </w:r>
      <w:r>
        <w:rPr>
          <w:rStyle w:val="FootnoteReference"/>
        </w:rPr>
        <w:footnoteReference w:id="23"/>
      </w:r>
      <w:r>
        <w:t xml:space="preserve"> </w:t>
      </w:r>
      <w:r>
        <w:t xml:space="preserve">and the</w:t>
      </w:r>
      <w:r>
        <w:t xml:space="preserve"> </w:t>
      </w:r>
      <w:r>
        <w:rPr>
          <w:b/>
          <w:bCs/>
        </w:rPr>
        <w:t xml:space="preserve">U-cha</w:t>
      </w:r>
      <w:r>
        <w:t xml:space="preserve"> </w:t>
      </w:r>
      <w:r>
        <w:t xml:space="preserve">of Hiuen-Tsiang,</w:t>
      </w:r>
      <w:r>
        <w:rPr>
          <w:rStyle w:val="FootnoteReference"/>
        </w:rPr>
        <w:footnoteReference w:id="24"/>
      </w:r>
      <w:r>
        <w:t xml:space="preserve"> </w:t>
      </w:r>
      <w:r>
        <w:t xml:space="preserve">is the modern Orissa.</w:t>
      </w:r>
      <w:r>
        <w:t xml:space="preserve"> </w:t>
      </w:r>
      <w:r>
        <w:rPr>
          <w:b/>
          <w:bCs/>
        </w:rPr>
        <w:t xml:space="preserve">Kośalai-nāḍu</w:t>
      </w:r>
      <w:r>
        <w:t xml:space="preserve"> </w:t>
      </w:r>
      <w:r>
        <w:t xml:space="preserve">is Southern</w:t>
      </w:r>
      <w:r>
        <w:t xml:space="preserve"> </w:t>
      </w:r>
      <w:r>
        <w:rPr>
          <w:b/>
          <w:bCs/>
        </w:rPr>
        <w:t xml:space="preserve">Kosala</w:t>
      </w:r>
      <w:r>
        <w:t xml:space="preserve">, the</w:t>
      </w:r>
      <w:r>
        <w:t xml:space="preserve"> </w:t>
      </w:r>
      <w:r>
        <w:rPr>
          <w:b/>
          <w:bCs/>
        </w:rPr>
        <w:t xml:space="preserve">Kiao-sa-lo</w:t>
      </w:r>
      <w:r>
        <w:t xml:space="preserve"> </w:t>
      </w:r>
      <w:r>
        <w:t xml:space="preserve">of Hiuen-Tsiang,</w:t>
      </w:r>
      <w:r>
        <w:rPr>
          <w:rStyle w:val="FootnoteReference"/>
        </w:rPr>
        <w:footnoteReference w:id="25"/>
      </w:r>
      <w:r>
        <w:t xml:space="preserve"> </w:t>
      </w:r>
      <w:r>
        <w:t xml:space="preserve">which, according to General Cunningham, corresponds to the upper valley of the Mahānadī and its tributaries.</w:t>
      </w:r>
      <w:r>
        <w:rPr>
          <w:rStyle w:val="FootnoteReference"/>
        </w:rPr>
        <w:footnoteReference w:id="26"/>
      </w:r>
      <w:r>
        <w:t xml:space="preserve"> </w:t>
      </w:r>
      <w:r>
        <w:rPr>
          <w:b/>
          <w:bCs/>
        </w:rPr>
        <w:t xml:space="preserve">Takkaṇalāḍam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Uttiralāḍam</w:t>
      </w:r>
      <w:r>
        <w:t xml:space="preserve"> </w:t>
      </w:r>
      <w:r>
        <w:t xml:space="preserve">are Northern and Southern</w:t>
      </w:r>
      <w:r>
        <w:t xml:space="preserve"> </w:t>
      </w:r>
      <w:r>
        <w:rPr>
          <w:b/>
          <w:bCs/>
        </w:rPr>
        <w:t xml:space="preserve">Lāṭa</w:t>
      </w:r>
      <w:r>
        <w:t xml:space="preserve"> </w:t>
      </w:r>
      <w:r>
        <w:t xml:space="preserve">(</w:t>
      </w:r>
      <w:r>
        <w:rPr>
          <w:i/>
          <w:iCs/>
        </w:rPr>
        <w:t xml:space="preserve">Gujarāt</w:t>
      </w:r>
      <w:r>
        <w:t xml:space="preserve">). The former was taken from a certain</w:t>
      </w:r>
      <w:r>
        <w:t xml:space="preserve"> </w:t>
      </w:r>
      <w:r>
        <w:rPr>
          <w:b/>
          <w:bCs/>
        </w:rPr>
        <w:t xml:space="preserve">Raṇaśūra</w:t>
      </w:r>
      <w:r>
        <w:t xml:space="preserve">. Further, Rājendra-Choḷa asserts that he conquered</w:t>
      </w:r>
      <w:r>
        <w:t xml:space="preserve"> </w:t>
      </w:r>
      <w:r>
        <w:rPr>
          <w:b/>
          <w:bCs/>
        </w:rPr>
        <w:t xml:space="preserve">Vaṅgāḷa-deśa</w:t>
      </w:r>
      <w:r>
        <w:t xml:space="preserve">,</w:t>
      </w:r>
      <w:r>
        <w:t xml:space="preserve"> </w:t>
      </w:r>
      <w:r>
        <w:rPr>
          <w:i/>
          <w:iCs/>
        </w:rPr>
        <w:t xml:space="preserve">i.e.</w:t>
      </w:r>
      <w:r>
        <w:t xml:space="preserve">, Bengal, from a certain</w:t>
      </w:r>
      <w:r>
        <w:t xml:space="preserve"> </w:t>
      </w:r>
      <w:r>
        <w:rPr>
          <w:b/>
          <w:bCs/>
        </w:rPr>
        <w:t xml:space="preserve">Govindachandra</w:t>
      </w:r>
      <w:r>
        <w:t xml:space="preserve"> </w:t>
      </w:r>
      <w:r>
        <w:t xml:space="preserve">and extended his operations as far as the</w:t>
      </w:r>
      <w:r>
        <w:t xml:space="preserve"> </w:t>
      </w:r>
      <w:r>
        <w:rPr>
          <w:b/>
          <w:bCs/>
        </w:rPr>
        <w:t xml:space="preserve">Gaṅgā</w:t>
      </w:r>
      <w:r>
        <w:t xml:space="preserve">. The remaining names of countries and kings I have been unable to identify.</w:t>
      </w:r>
    </w:p>
    <w:p>
      <w:pPr>
        <w:pStyle w:val="BodyText"/>
      </w:pPr>
      <w:r>
        <w:t xml:space="preserve">The inscription mentions</w:t>
      </w:r>
      <w:r>
        <w:t xml:space="preserve"> </w:t>
      </w:r>
      <w:r>
        <w:rPr>
          <w:b/>
          <w:bCs/>
        </w:rPr>
        <w:t xml:space="preserve">Tirumalai</w:t>
      </w:r>
      <w:r>
        <w:t xml:space="preserve">,</w:t>
      </w:r>
      <w:r>
        <w:t xml:space="preserve"> </w:t>
      </w:r>
      <w:r>
        <w:rPr>
          <w:i/>
          <w:iCs/>
        </w:rPr>
        <w:t xml:space="preserve">i.e.</w:t>
      </w:r>
      <w:r>
        <w:t xml:space="preserve">, “the holy mountain,” and records a gift to the temple on its top, which was called</w:t>
      </w:r>
      <w:r>
        <w:t xml:space="preserve"> </w:t>
      </w:r>
      <w:r>
        <w:rPr>
          <w:b/>
          <w:bCs/>
        </w:rPr>
        <w:t xml:space="preserve">Kundavai-Jinālaya</w:t>
      </w:r>
      <w:r>
        <w:t xml:space="preserve">,</w:t>
      </w:r>
      <w:r>
        <w:t xml:space="preserve"> </w:t>
      </w:r>
      <w:r>
        <w:rPr>
          <w:i/>
          <w:iCs/>
        </w:rPr>
        <w:t xml:space="preserve">i.e.</w:t>
      </w:r>
      <w:r>
        <w:t xml:space="preserve">, the</w:t>
      </w:r>
      <w:r>
        <w:t xml:space="preserve"> </w:t>
      </w:r>
      <w:r>
        <w:rPr>
          <w:b/>
          <w:bCs/>
        </w:rPr>
        <w:t xml:space="preserve">Jina</w:t>
      </w:r>
      <w:r>
        <w:t xml:space="preserve"> </w:t>
      </w:r>
      <w:r>
        <w:t xml:space="preserve">temple of</w:t>
      </w:r>
      <w:r>
        <w:t xml:space="preserve"> </w:t>
      </w:r>
      <w:r>
        <w:rPr>
          <w:b/>
          <w:bCs/>
        </w:rPr>
        <w:t xml:space="preserve">Kundavai</w:t>
      </w:r>
      <w:r>
        <w:t xml:space="preserve">. According to an Eastern</w:t>
      </w:r>
      <w:r>
        <w:t xml:space="preserve"> </w:t>
      </w:r>
      <w:r>
        <w:rPr>
          <w:b/>
          <w:bCs/>
        </w:rPr>
        <w:t xml:space="preserve">Chalukya</w:t>
      </w:r>
      <w:r>
        <w:t xml:space="preserve"> </w:t>
      </w:r>
      <w:r>
        <w:t xml:space="preserve">grant</w:t>
      </w:r>
      <w:r>
        <w:rPr>
          <w:rStyle w:val="FootnoteReference"/>
        </w:rPr>
        <w:footnoteReference w:id="27"/>
      </w:r>
      <w:r>
        <w:t xml:space="preserve"> </w:t>
      </w:r>
      <w:r>
        <w:t xml:space="preserve">(and an unpublished Chidambaram inscription</w:t>
      </w:r>
      <w:r>
        <w:rPr>
          <w:rStyle w:val="FootnoteReference"/>
        </w:rPr>
        <w:footnoteReference w:id="28"/>
      </w:r>
      <w:r>
        <w:t xml:space="preserve">),</w:t>
      </w:r>
      <w:r>
        <w:t xml:space="preserve"> </w:t>
      </w:r>
      <w:r>
        <w:rPr>
          <w:b/>
          <w:bCs/>
        </w:rPr>
        <w:t xml:space="preserve">Kūndavā</w:t>
      </w:r>
      <w:r>
        <w:t xml:space="preserve"> </w:t>
      </w:r>
      <w:r>
        <w:t xml:space="preserve">(</w:t>
      </w:r>
      <w:r>
        <w:rPr>
          <w:i/>
          <w:iCs/>
        </w:rPr>
        <w:t xml:space="preserve">or</w:t>
      </w:r>
      <w:r>
        <w:t xml:space="preserve"> </w:t>
      </w:r>
      <w:r>
        <w:t xml:space="preserve">Kundavai) was the name of the daughter of</w:t>
      </w:r>
      <w:r>
        <w:t xml:space="preserve"> </w:t>
      </w:r>
      <w:r>
        <w:rPr>
          <w:b/>
          <w:bCs/>
        </w:rPr>
        <w:t xml:space="preserve">Rājarāja</w:t>
      </w:r>
      <w:r>
        <w:t xml:space="preserve"> </w:t>
      </w:r>
      <w:r>
        <w:t xml:space="preserve">of the</w:t>
      </w:r>
      <w:r>
        <w:t xml:space="preserve"> </w:t>
      </w:r>
      <w:r>
        <w:rPr>
          <w:i/>
          <w:iCs/>
        </w:rPr>
        <w:t xml:space="preserve">Sūryavaṁśa</w:t>
      </w:r>
      <w:r>
        <w:t xml:space="preserve">, the younger sister of</w:t>
      </w:r>
      <w:r>
        <w:t xml:space="preserve"> </w:t>
      </w:r>
      <w:r>
        <w:rPr>
          <w:b/>
          <w:bCs/>
        </w:rPr>
        <w:t xml:space="preserve">Rājendra-Choḷa</w:t>
      </w:r>
      <w:r>
        <w:t xml:space="preserve">, and the queen of the Eastern Chalukya king</w:t>
      </w:r>
      <w:r>
        <w:t xml:space="preserve"> </w:t>
      </w:r>
      <w:r>
        <w:rPr>
          <w:b/>
          <w:bCs/>
        </w:rPr>
        <w:t xml:space="preserve">Vimalāditya</w:t>
      </w:r>
      <w:r>
        <w:t xml:space="preserve">. The Tanjore inscriptions mention another, still earlier</w:t>
      </w:r>
      <w:r>
        <w:t xml:space="preserve"> </w:t>
      </w:r>
      <w:r>
        <w:rPr>
          <w:b/>
          <w:bCs/>
        </w:rPr>
        <w:t xml:space="preserve">Kundavai</w:t>
      </w:r>
      <w:r>
        <w:t xml:space="preserve">, who was the daughter of the</w:t>
      </w:r>
      <w:r>
        <w:t xml:space="preserve"> </w:t>
      </w:r>
      <w:r>
        <w:rPr>
          <w:b/>
          <w:bCs/>
        </w:rPr>
        <w:t xml:space="preserve">Choḷa</w:t>
      </w:r>
      <w:r>
        <w:t xml:space="preserve"> </w:t>
      </w:r>
      <w:r>
        <w:t xml:space="preserve">king</w:t>
      </w:r>
      <w:r>
        <w:t xml:space="preserve"> </w:t>
      </w:r>
      <w:r>
        <w:rPr>
          <w:b/>
          <w:bCs/>
        </w:rPr>
        <w:t xml:space="preserve">Parāntaka</w:t>
      </w:r>
      <w:r>
        <w:t xml:space="preserve"> </w:t>
      </w:r>
      <w:r>
        <w:t xml:space="preserve">II., the elder sister of the</w:t>
      </w:r>
      <w:r>
        <w:t xml:space="preserve"> </w:t>
      </w:r>
      <w:r>
        <w:rPr>
          <w:b/>
          <w:bCs/>
        </w:rPr>
        <w:t xml:space="preserve">Choḷa</w:t>
      </w:r>
      <w:r>
        <w:t xml:space="preserve"> </w:t>
      </w:r>
      <w:r>
        <w:t xml:space="preserve">king</w:t>
      </w:r>
      <w:r>
        <w:t xml:space="preserve"> </w:t>
      </w:r>
      <w:r>
        <w:rPr>
          <w:b/>
          <w:bCs/>
        </w:rPr>
        <w:t xml:space="preserve">Rājarāja-deva</w:t>
      </w:r>
      <w:r>
        <w:t xml:space="preserve">, and the queen of the</w:t>
      </w:r>
      <w:r>
        <w:t xml:space="preserve"> </w:t>
      </w:r>
      <w:r>
        <w:rPr>
          <w:b/>
          <w:bCs/>
        </w:rPr>
        <w:t xml:space="preserve">Pallava</w:t>
      </w:r>
      <w:r>
        <w:t xml:space="preserve"> </w:t>
      </w:r>
      <w:r>
        <w:t xml:space="preserve">king</w:t>
      </w:r>
      <w:r>
        <w:t xml:space="preserve"> </w:t>
      </w:r>
      <w:r>
        <w:rPr>
          <w:b/>
          <w:bCs/>
        </w:rPr>
        <w:t xml:space="preserve">Vandyadeva</w:t>
      </w:r>
      <w:r>
        <w:t xml:space="preserve">.</w:t>
      </w:r>
      <w:r>
        <w:rPr>
          <w:rStyle w:val="FootnoteReference"/>
        </w:rPr>
        <w:footnoteReference w:id="29"/>
      </w:r>
      <w:r>
        <w:t xml:space="preserve"> </w:t>
      </w:r>
      <w:r>
        <w:t xml:space="preserve">It seems very probable that it was one of these two queens,</w:t>
      </w:r>
      <w:r>
        <w:t xml:space="preserve"> </w:t>
      </w:r>
      <w:r>
        <w:rPr>
          <w:i/>
          <w:iCs/>
        </w:rPr>
        <w:t xml:space="preserve">viz.</w:t>
      </w:r>
      <w:r>
        <w:t xml:space="preserve">, either the younger sister or the aunt of the then reigning sovereign</w:t>
      </w:r>
      <w:r>
        <w:t xml:space="preserve"> </w:t>
      </w:r>
      <w:r>
        <w:rPr>
          <w:b/>
          <w:bCs/>
        </w:rPr>
        <w:t xml:space="preserve">Rājendra-Choḷa</w:t>
      </w:r>
      <w:r>
        <w:t xml:space="preserve">, who founded the temple on the top of the</w:t>
      </w:r>
      <w:r>
        <w:t xml:space="preserve"> </w:t>
      </w:r>
      <w:r>
        <w:rPr>
          <w:b/>
          <w:bCs/>
        </w:rPr>
        <w:t xml:space="preserve">Tirumalai</w:t>
      </w:r>
      <w:r>
        <w:t xml:space="preserve"> </w:t>
      </w:r>
      <w:r>
        <w:t xml:space="preserve">Rock and called it after herself. As</w:t>
      </w:r>
      <w:r>
        <w:t xml:space="preserve"> </w:t>
      </w:r>
      <w:r>
        <w:rPr>
          <w:b/>
          <w:bCs/>
        </w:rPr>
        <w:t xml:space="preserve">Tirumalai</w:t>
      </w:r>
      <w:r>
        <w:t xml:space="preserve"> </w:t>
      </w:r>
      <w:r>
        <w:t xml:space="preserve">is much closer to the</w:t>
      </w:r>
      <w:r>
        <w:t xml:space="preserve"> </w:t>
      </w:r>
      <w:r>
        <w:rPr>
          <w:b/>
          <w:bCs/>
        </w:rPr>
        <w:t xml:space="preserve">Pallava</w:t>
      </w:r>
      <w:r>
        <w:t xml:space="preserve"> </w:t>
      </w:r>
      <w:r>
        <w:t xml:space="preserve">country, than to the country of the Eastern</w:t>
      </w:r>
      <w:r>
        <w:t xml:space="preserve"> </w:t>
      </w:r>
      <w:r>
        <w:rPr>
          <w:b/>
          <w:bCs/>
        </w:rPr>
        <w:t xml:space="preserve">Chalukyas</w:t>
      </w:r>
      <w:r>
        <w:t xml:space="preserve">, we shall scarcely be wrong in attributing the foundation of the temple rather to the king’s aunt, who was a</w:t>
      </w:r>
      <w:r>
        <w:t xml:space="preserve"> </w:t>
      </w:r>
      <w:r>
        <w:rPr>
          <w:b/>
          <w:bCs/>
        </w:rPr>
        <w:t xml:space="preserve">Pallava</w:t>
      </w:r>
      <w:r>
        <w:t xml:space="preserve"> </w:t>
      </w:r>
      <w:r>
        <w:t xml:space="preserve">queen, than to his younger sister, who was married to an Eastern</w:t>
      </w:r>
      <w:r>
        <w:t xml:space="preserve"> </w:t>
      </w:r>
      <w:r>
        <w:rPr>
          <w:b/>
          <w:bCs/>
        </w:rPr>
        <w:t xml:space="preserve">Chalukya</w:t>
      </w:r>
      <w:r>
        <w:t xml:space="preserve"> </w:t>
      </w:r>
      <w:r>
        <w:t xml:space="preserve">king.</w:t>
      </w:r>
    </w:p>
    <w:p>
      <w:pPr>
        <w:pStyle w:val="BodyText"/>
      </w:pPr>
      <w:r>
        <w:t xml:space="preserve">According to this and the next inscription, the village at the foot of the</w:t>
      </w:r>
      <w:r>
        <w:t xml:space="preserve"> </w:t>
      </w:r>
      <w:r>
        <w:rPr>
          <w:b/>
          <w:bCs/>
        </w:rPr>
        <w:t xml:space="preserve">Tirumalai</w:t>
      </w:r>
      <w:r>
        <w:t xml:space="preserve"> </w:t>
      </w:r>
      <w:r>
        <w:t xml:space="preserve">Hill bore the name of</w:t>
      </w:r>
      <w:r>
        <w:t xml:space="preserve"> </w:t>
      </w:r>
      <w:r>
        <w:rPr>
          <w:b/>
          <w:bCs/>
        </w:rPr>
        <w:t xml:space="preserve">Vaigavūr</w:t>
      </w:r>
      <w:r>
        <w:t xml:space="preserve"> </w:t>
      </w:r>
      <w:r>
        <w:t xml:space="preserve">and belonged to</w:t>
      </w:r>
      <w:r>
        <w:t xml:space="preserve"> </w:t>
      </w:r>
      <w:r>
        <w:rPr>
          <w:b/>
          <w:bCs/>
        </w:rPr>
        <w:t xml:space="preserve">Mugai-nāḍu</w:t>
      </w:r>
      <w:r>
        <w:t xml:space="preserve">, a division of</w:t>
      </w:r>
      <w:r>
        <w:t xml:space="preserve"> </w:t>
      </w:r>
      <w:r>
        <w:rPr>
          <w:b/>
          <w:bCs/>
        </w:rPr>
        <w:t xml:space="preserve">Paṅgaḷanāḍu</w:t>
      </w:r>
      <w:r>
        <w:t xml:space="preserve">, which formed part of</w:t>
      </w:r>
      <w:r>
        <w:t xml:space="preserve"> </w:t>
      </w:r>
      <w:r>
        <w:rPr>
          <w:b/>
          <w:bCs/>
        </w:rPr>
        <w:t xml:space="preserve">Jayaṅkoṇḍa-Choḷa-maṇḍalam</w:t>
      </w:r>
      <w:r>
        <w:t xml:space="preserve">.</w:t>
      </w:r>
    </w:p>
    <w:p>
      <w:pPr>
        <w:pStyle w:val="BodyText"/>
      </w:pPr>
      <w:r>
        <w:t xml:space="preserve">With the text of the subjoined inscription, I have compared four other inscriptions of</w:t>
      </w:r>
      <w:r>
        <w:t xml:space="preserve"> </w:t>
      </w:r>
      <w:r>
        <w:rPr>
          <w:b/>
          <w:bCs/>
        </w:rPr>
        <w:t xml:space="preserve">Rājendra-Choḷa</w:t>
      </w:r>
      <w:r>
        <w:t xml:space="preserve">,</w:t>
      </w:r>
      <w:r>
        <w:t xml:space="preserve"> </w:t>
      </w:r>
      <w:r>
        <w:rPr>
          <w:i/>
          <w:iCs/>
        </w:rPr>
        <w:t xml:space="preserve">viz.</w:t>
      </w:r>
      <w:r>
        <w:t xml:space="preserve">, 1. the inscription No. 68, which is likewise dated in the 12th year; 2. an undated inscription of the</w:t>
      </w:r>
      <w:r>
        <w:t xml:space="preserve"> </w:t>
      </w:r>
      <w:r>
        <w:rPr>
          <w:b/>
          <w:bCs/>
        </w:rPr>
        <w:t xml:space="preserve">Kailāsanātha</w:t>
      </w:r>
      <w:r>
        <w:t xml:space="preserve"> </w:t>
      </w:r>
      <w:r>
        <w:t xml:space="preserve">Temple at</w:t>
      </w:r>
      <w:r>
        <w:t xml:space="preserve"> </w:t>
      </w:r>
      <w:r>
        <w:rPr>
          <w:b/>
          <w:bCs/>
        </w:rPr>
        <w:t xml:space="preserve">Uttaramallūr</w:t>
      </w:r>
      <w:r>
        <w:t xml:space="preserve"> </w:t>
      </w:r>
      <w:r>
        <w:t xml:space="preserve">in the Chingleput District, an impression of which I owe to the kindness of Mr. R.Sewell; 3. an inscription of the</w:t>
      </w:r>
      <w:r>
        <w:t xml:space="preserve"> </w:t>
      </w:r>
      <w:r>
        <w:rPr>
          <w:b/>
          <w:bCs/>
        </w:rPr>
        <w:t xml:space="preserve">Bṛihadīśvara</w:t>
      </w:r>
      <w:r>
        <w:t xml:space="preserve"> </w:t>
      </w:r>
      <w:r>
        <w:t xml:space="preserve">Temple at</w:t>
      </w:r>
      <w:r>
        <w:t xml:space="preserve"> </w:t>
      </w:r>
      <w:r>
        <w:rPr>
          <w:b/>
          <w:bCs/>
        </w:rPr>
        <w:t xml:space="preserve">Tanjore</w:t>
      </w:r>
      <w:r>
        <w:t xml:space="preserve"> </w:t>
      </w:r>
      <w:r>
        <w:t xml:space="preserve">(15th year); and 4. an inscription of the</w:t>
      </w:r>
      <w:r>
        <w:t xml:space="preserve"> </w:t>
      </w:r>
      <w:r>
        <w:rPr>
          <w:b/>
          <w:bCs/>
        </w:rPr>
        <w:t xml:space="preserve">Chidambaram</w:t>
      </w:r>
      <w:r>
        <w:t xml:space="preserve"> </w:t>
      </w:r>
      <w:r>
        <w:t xml:space="preserve">Temple (24th year).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rPr>
          <w:b/>
          <w:bCs/>
        </w:rPr>
        <w:t xml:space="preserve">svasti śrī</w:t>
      </w:r>
      <w:r>
        <w:t xml:space="preserve"> </w:t>
      </w:r>
      <w:r>
        <w:t xml:space="preserve">[∥] tirumaṉṉi vaḷaraviru nilamaṭan=taiyum porccayappāvaiyuñcīrttaṉiccelviyuntaṉ perunteviyarāki Iṉpuṟu neṭu tiyal Ūḻiyuḷ Iṭaitu</w:t>
      </w:r>
      <w:r>
        <w:rPr>
          <w:rStyle w:val="ColorGray"/>
        </w:rPr>
        <w:t xml:space="preserve">⟨2⟩</w:t>
      </w:r>
      <w:r>
        <w:t xml:space="preserve">ṟaināṭuntuṭar vaṉavelippaṭar vaṉavāciyuñcuḷḷiccūḻ matiṭkoḷḷippākkaiyunaṇṇaṟkaru muraṇ maṇṇaikkaṭakkamum poru kaṭal Īḻattaracar tamuṭiyum Āṅka</w:t>
      </w:r>
      <w:r>
        <w:rPr>
          <w:rStyle w:val="ColorGray"/>
        </w:rPr>
        <w:t xml:space="preserve">⟨3⟩</w:t>
      </w:r>
      <w:r>
        <w:t xml:space="preserve">var teviyaroṅkeḻiṉmuṭiyumuṉṉavar pa(k)kaltteṉṉavar vaitta cuntaramuṭiyum Intiranāramunteṇṭirai Īḻamaṇṭalamuḻuvatum Eṟi paṭaikkeraḷar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⟨4⟩</w:t>
      </w:r>
      <w:r>
        <w:rPr>
          <w:rStyle w:val="ColorGray"/>
        </w:rPr>
        <w:t xml:space="preserve"> </w:t>
      </w:r>
      <w:r>
        <w:t xml:space="preserve">muṟaimaiyiṟcūṭuṅkulataṉamākiya palar pukaḻ muṭiyuñceṅkatir mālaiyuñcaṅkatir velaittol peruṅkāvaṟpala paḻantivuñceruviṟceṉa</w:t>
      </w:r>
      <w:r>
        <w:rPr>
          <w:rStyle w:val="ColorGray"/>
        </w:rPr>
        <w:t xml:space="preserve">⟨5⟩</w:t>
      </w:r>
      <w:r>
        <w:t xml:space="preserve">vil Irupattoru kālaraicukaḷai kaṭṭa paracurāmaṉ mevaruñcāntimattivavaraṇ karuti Iruttiya cem poṟṟiruttaku muṭiyum payaṅkoṭu paḻi mika mucaṅkiyil mu</w:t>
      </w:r>
      <w:r>
        <w:rPr>
          <w:rStyle w:val="ColorGray"/>
        </w:rPr>
        <w:t xml:space="preserve">⟨6⟩</w:t>
      </w:r>
      <w:r>
        <w:t xml:space="preserve">tukiṭṭoḷitta cayaciṅkaṉ Aḷapperum pukaḻoṭum pīṭiyal Iraṭṭapāṭi Eḻarai Ilakkamunavanetikkulapperumalaikaḷum vikkiramavīrar cakkarakoṭṭamu</w:t>
      </w:r>
      <w:r>
        <w:rPr>
          <w:rStyle w:val="ColorGray"/>
        </w:rPr>
        <w:t xml:space="preserve">⟨7⟩</w:t>
      </w:r>
      <w:r>
        <w:t xml:space="preserve">mutirapaṭavallai maturamaṇṭalamum kāmiṭaivaḷaiyanāmaṇaikkoṇamum veñcilaivīrar pañcappaḷḷiyum pācuṭaippaḻanaṉmācuṇitecamum Ayarvi</w:t>
      </w:r>
      <w:r>
        <w:rPr>
          <w:rStyle w:val="ColorGray"/>
        </w:rPr>
        <w:t xml:space="preserve">⟨8⟩</w:t>
      </w:r>
      <w:r>
        <w:t xml:space="preserve">l vaṇ kirttiyātinakaravaiyiṟcan=tiraṉṟol kulattirataraṉai viḷaiyamarkkaḷattukkiḷaiyoṭum pi(ṭit)tuppala taṉattoṭu niṟai kulataṉa(k)kuvai</w:t>
      </w:r>
      <w:r>
        <w:rPr>
          <w:rStyle w:val="ColorGray"/>
        </w:rPr>
        <w:t xml:space="preserve">⟨9⟩</w:t>
      </w:r>
      <w:r>
        <w:t xml:space="preserve">yuñciṭṭaruñce(ṟi) miḷaiyoṭṭavi</w:t>
      </w:r>
      <w:r>
        <w:rPr>
          <w:b/>
          <w:bCs/>
        </w:rPr>
        <w:t xml:space="preserve">ṣai</w:t>
      </w:r>
      <w:r>
        <w:t xml:space="preserve">yamum pūcurar cer nalkkocalaināṭun=taṉmapālaṉai vem muṉaiyaḻittu vaṇṭuṟai colaittaṇṭayuttiyumiraṇa</w:t>
      </w:r>
      <w:r>
        <w:rPr>
          <w:rStyle w:val="ColorGray"/>
        </w:rPr>
        <w:t xml:space="preserve">⟨10⟩</w:t>
      </w:r>
      <w:r>
        <w:t xml:space="preserve">cūraṉai muraṇuṟattākkittikkaṇai kirttittakkaṇalāṭamuṅkovin=tacan=taṉ māviḻin=toṭattaṅkāta cāral vaṅkāḷatecamun=toṭu kaṭaṟcaṅkukoṭṭaṉ</w:t>
      </w:r>
      <w:r>
        <w:t xml:space="preserve"> </w:t>
      </w:r>
      <w:r>
        <w:rPr>
          <w:b/>
          <w:bCs/>
        </w:rPr>
        <w:t xml:space="preserve">mahī</w:t>
      </w:r>
      <w:r>
        <w:t xml:space="preserve">pālaṉai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⟨11⟩</w:t>
      </w:r>
      <w:r>
        <w:rPr>
          <w:rStyle w:val="ColorGray"/>
        </w:rPr>
        <w:t xml:space="preserve"> </w:t>
      </w:r>
      <w:r>
        <w:t xml:space="preserve">veñcama vaḷākattañcuvittaruḷi Oṇṭiṟal yāṉaiyum peṇṭir paṇṭāramunittilaneṭuṅkaṭalutti(ra)lāṭamum veṟi maṇaṟṟirttatteṟi puṉaṟkaṅkaiyumā(p)</w:t>
      </w:r>
      <w:r>
        <w:rPr>
          <w:rStyle w:val="ColorGray"/>
        </w:rPr>
        <w:t xml:space="preserve">⟨12⟩</w:t>
      </w:r>
      <w:r>
        <w:t xml:space="preserve">poru taṇṭāṟkoṇṭa kopparakecaripaṉmarāṉa Uṭaiyār</w:t>
      </w:r>
      <w:r>
        <w:t xml:space="preserve"> </w:t>
      </w:r>
      <w:r>
        <w:rPr>
          <w:b/>
          <w:bCs/>
        </w:rPr>
        <w:t xml:space="preserve">śrīrājendracoḷade</w:t>
      </w:r>
      <w:r>
        <w:t xml:space="preserve">vaṟku yāṇṭu 10 2 Āvatu</w:t>
      </w:r>
      <w:r>
        <w:t xml:space="preserve"> </w:t>
      </w:r>
      <w:r>
        <w:rPr>
          <w:b/>
          <w:bCs/>
        </w:rPr>
        <w:t xml:space="preserve">(ja)</w:t>
      </w:r>
      <w:r>
        <w:t xml:space="preserve">yaṅkoṇṭacoḻamaṇṭalattu paṅkaḷanāṭṭu naṭuvil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⟨13⟩</w:t>
      </w:r>
      <w:r>
        <w:rPr>
          <w:rStyle w:val="ColorGray"/>
        </w:rPr>
        <w:t xml:space="preserve"> </w:t>
      </w:r>
      <w:r>
        <w:t xml:space="preserve">va(k)ai mukaināṭṭuppaḷḷiccan=tam vaikavūrttirumalai</w:t>
      </w:r>
      <w:r>
        <w:t xml:space="preserve"> </w:t>
      </w:r>
      <w:r>
        <w:rPr>
          <w:b/>
          <w:bCs/>
        </w:rPr>
        <w:t xml:space="preserve">śrī</w:t>
      </w:r>
      <w:r>
        <w:t xml:space="preserve">kun=tavai</w:t>
      </w:r>
      <w:r>
        <w:rPr>
          <w:b/>
          <w:bCs/>
        </w:rPr>
        <w:t xml:space="preserve">ji</w:t>
      </w:r>
      <w:r>
        <w:t xml:space="preserve">nālayattu</w:t>
      </w:r>
      <w:r>
        <w:t xml:space="preserve"> </w:t>
      </w:r>
      <w:r>
        <w:rPr>
          <w:b/>
          <w:bCs/>
        </w:rPr>
        <w:t xml:space="preserve">de</w:t>
      </w:r>
      <w:r>
        <w:t xml:space="preserve">vaṟkupperumpāṇappāṭikkaraivaḻimalliyūr Irukkum</w:t>
      </w:r>
      <w:r>
        <w:t xml:space="preserve"> </w:t>
      </w:r>
      <w:r>
        <w:rPr>
          <w:b/>
          <w:bCs/>
        </w:rPr>
        <w:t xml:space="preserve">vyā</w:t>
      </w:r>
      <w:r>
        <w:rPr>
          <w:rStyle w:val="ColorGray"/>
        </w:rPr>
        <w:t xml:space="preserve">⟨14⟩</w:t>
      </w:r>
      <w:r>
        <w:rPr>
          <w:b/>
          <w:bCs/>
        </w:rPr>
        <w:t xml:space="preserve">pāri</w:t>
      </w:r>
      <w:r>
        <w:t xml:space="preserve"> </w:t>
      </w:r>
      <w:r>
        <w:t xml:space="preserve">nan=nappayaṉ maṇavāṭṭi cāmuṇṭappai vaitta tirunan=tāviḷakku [∥] Oṉṟinukkukkācu Irupatum (tiru)vamutukku vaitta kācu pattum [∥]</w:t>
      </w:r>
    </w:p>
    <w:p>
      <w:pPr>
        <w:pStyle w:val="Heading1"/>
      </w:pPr>
      <w:r>
        <w:t xml:space="preserve">Apparatus</w:t>
      </w:r>
    </w:p>
    <w:p>
      <w:pPr>
        <w:pStyle w:val="FirstParagraph"/>
      </w:pPr>
      <w:r>
        <w:rPr>
          <w:rStyle w:val="ColorGray"/>
        </w:rPr>
        <w:t xml:space="preserve">⟨1⟩</w:t>
      </w:r>
      <w:r>
        <w:t xml:space="preserve"> </w:t>
      </w:r>
      <w:r>
        <w:t xml:space="preserve">Iṉpuṟu • Other inscriptions read</w:t>
      </w:r>
      <w:r>
        <w:t xml:space="preserve"> </w:t>
      </w:r>
      <w:r>
        <w:rPr>
          <w:i/>
          <w:iCs/>
        </w:rPr>
        <w:t xml:space="preserve">Iṉpuṟa</w:t>
      </w:r>
      <w:r>
        <w:t xml:space="preserve">. —</w:t>
      </w:r>
      <w:r>
        <w:t xml:space="preserve"> </w:t>
      </w:r>
      <w:r>
        <w:rPr>
          <w:rStyle w:val="ColorGray"/>
        </w:rPr>
        <w:t xml:space="preserve">⟨1⟩</w:t>
      </w:r>
      <w:r>
        <w:t xml:space="preserve"> </w:t>
      </w:r>
      <w:r>
        <w:t xml:space="preserve">tiyal • An inscription at Uttaramallūr reads</w:t>
      </w:r>
      <w:r>
        <w:t xml:space="preserve"> </w:t>
      </w:r>
      <w:r>
        <w:rPr>
          <w:i/>
          <w:iCs/>
        </w:rPr>
        <w:t xml:space="preserve">tūyar</w:t>
      </w:r>
      <w:r>
        <w:t xml:space="preserve">.</w:t>
      </w:r>
    </w:p>
    <w:p>
      <w:pPr>
        <w:pStyle w:val="BodyText"/>
      </w:pPr>
      <w:r>
        <w:rPr>
          <w:rStyle w:val="ColorGray"/>
        </w:rPr>
        <w:t xml:space="preserve">⟨2⟩</w:t>
      </w:r>
      <w:r>
        <w:t xml:space="preserve"> </w:t>
      </w:r>
      <w:r>
        <w:t xml:space="preserve">muraṇ • The</w:t>
      </w:r>
      <w:r>
        <w:t xml:space="preserve"> </w:t>
      </w:r>
      <w:r>
        <w:rPr>
          <w:i/>
          <w:iCs/>
        </w:rPr>
        <w:t xml:space="preserve">ra</w:t>
      </w:r>
      <w:r>
        <w:t xml:space="preserve"> </w:t>
      </w:r>
      <w:r>
        <w:t xml:space="preserve">of</w:t>
      </w:r>
      <w:r>
        <w:t xml:space="preserve"> </w:t>
      </w:r>
      <w:r>
        <w:rPr>
          <w:i/>
          <w:iCs/>
        </w:rPr>
        <w:t xml:space="preserve">muraṇ</w:t>
      </w:r>
      <w:r>
        <w:t xml:space="preserve"> </w:t>
      </w:r>
      <w:r>
        <w:t xml:space="preserve">looks almost like</w:t>
      </w:r>
      <w:r>
        <w:t xml:space="preserve"> </w:t>
      </w:r>
      <w:r>
        <w:rPr>
          <w:i/>
          <w:iCs/>
        </w:rPr>
        <w:t xml:space="preserve">ka</w:t>
      </w:r>
      <w:r>
        <w:t xml:space="preserve">.</w:t>
      </w:r>
    </w:p>
    <w:p>
      <w:pPr>
        <w:pStyle w:val="BodyText"/>
      </w:pPr>
      <w:r>
        <w:rPr>
          <w:rStyle w:val="ColorGray"/>
        </w:rPr>
        <w:t xml:space="preserve">⟨4⟩</w:t>
      </w:r>
      <w:r>
        <w:t xml:space="preserve"> </w:t>
      </w:r>
      <w:r>
        <w:t xml:space="preserve">ceṉa</w:t>
      </w:r>
      <w:r>
        <w:rPr>
          <w:rStyle w:val="ColorGray"/>
        </w:rPr>
        <w:t xml:space="preserve">⟨5⟩</w:t>
      </w:r>
      <w:r>
        <w:t xml:space="preserve">vil • A Tanjore inscription reads</w:t>
      </w:r>
      <w:r>
        <w:t xml:space="preserve"> </w:t>
      </w:r>
      <w:r>
        <w:rPr>
          <w:i/>
          <w:iCs/>
        </w:rPr>
        <w:t xml:space="preserve">ciṉavi</w:t>
      </w:r>
      <w:r>
        <w:t xml:space="preserve"> </w:t>
      </w:r>
      <w:r>
        <w:t xml:space="preserve">for</w:t>
      </w:r>
      <w:r>
        <w:t xml:space="preserve"> </w:t>
      </w:r>
      <w:r>
        <w:rPr>
          <w:i/>
          <w:iCs/>
        </w:rPr>
        <w:t xml:space="preserve">ceṉavil</w:t>
      </w:r>
      <w:r>
        <w:t xml:space="preserve">.</w:t>
      </w:r>
    </w:p>
    <w:p>
      <w:pPr>
        <w:pStyle w:val="BodyText"/>
      </w:pPr>
      <w:r>
        <w:rPr>
          <w:rStyle w:val="ColorGray"/>
        </w:rPr>
        <w:t xml:space="preserve">⟨6⟩</w:t>
      </w:r>
      <w:r>
        <w:t xml:space="preserve"> </w:t>
      </w:r>
      <w:r>
        <w:t xml:space="preserve">cayaciṅkaṉ •</w:t>
      </w:r>
      <w:r>
        <w:t xml:space="preserve"> </w:t>
      </w:r>
      <w:r>
        <w:rPr>
          <w:i/>
          <w:iCs/>
        </w:rPr>
        <w:t xml:space="preserve">ci</w:t>
      </w:r>
      <w:r>
        <w:t xml:space="preserve"> </w:t>
      </w:r>
      <w:r>
        <w:t xml:space="preserve">looks like</w:t>
      </w:r>
      <w:r>
        <w:t xml:space="preserve"> </w:t>
      </w:r>
      <w:r>
        <w:rPr>
          <w:i/>
          <w:iCs/>
        </w:rPr>
        <w:t xml:space="preserve">cī</w:t>
      </w:r>
      <w:r>
        <w:t xml:space="preserve">. —</w:t>
      </w:r>
      <w:r>
        <w:t xml:space="preserve"> </w:t>
      </w:r>
      <w:r>
        <w:rPr>
          <w:rStyle w:val="ColorGray"/>
        </w:rPr>
        <w:t xml:space="preserve">⟨6⟩</w:t>
      </w:r>
      <w:r>
        <w:t xml:space="preserve"> </w:t>
      </w:r>
      <w:r>
        <w:t xml:space="preserve">Aḷapperum • A Tanjore inscription reads</w:t>
      </w:r>
      <w:r>
        <w:t xml:space="preserve"> </w:t>
      </w:r>
      <w:r>
        <w:rPr>
          <w:i/>
          <w:iCs/>
        </w:rPr>
        <w:t xml:space="preserve">Aḷapparum</w:t>
      </w:r>
      <w:r>
        <w:t xml:space="preserve">. —</w:t>
      </w:r>
      <w:r>
        <w:t xml:space="preserve"> </w:t>
      </w:r>
      <w:r>
        <w:rPr>
          <w:rStyle w:val="ColorGray"/>
        </w:rPr>
        <w:t xml:space="preserve">⟨6⟩</w:t>
      </w:r>
      <w:r>
        <w:t xml:space="preserve"> </w:t>
      </w:r>
      <w:r>
        <w:t xml:space="preserve">pīṭiyal • An inscription at Uttaramallūr reads</w:t>
      </w:r>
      <w:r>
        <w:t xml:space="preserve"> </w:t>
      </w:r>
      <w:r>
        <w:rPr>
          <w:i/>
          <w:iCs/>
        </w:rPr>
        <w:t xml:space="preserve">piṭi</w:t>
      </w:r>
      <w:r>
        <w:t xml:space="preserve"> </w:t>
      </w:r>
      <w:r>
        <w:t xml:space="preserve">instead of</w:t>
      </w:r>
      <w:r>
        <w:t xml:space="preserve"> </w:t>
      </w:r>
      <w:r>
        <w:rPr>
          <w:i/>
          <w:iCs/>
        </w:rPr>
        <w:t xml:space="preserve">pīṭiyal</w:t>
      </w:r>
      <w:r>
        <w:t xml:space="preserve">.</w:t>
      </w:r>
    </w:p>
    <w:p>
      <w:pPr>
        <w:pStyle w:val="BodyText"/>
      </w:pPr>
      <w:r>
        <w:rPr>
          <w:rStyle w:val="ColorGray"/>
        </w:rPr>
        <w:t xml:space="preserve">⟨7⟩</w:t>
      </w:r>
      <w:r>
        <w:t xml:space="preserve"> </w:t>
      </w:r>
      <w:r>
        <w:t xml:space="preserve">pācuṭai • Other inscriptions read</w:t>
      </w:r>
      <w:r>
        <w:t xml:space="preserve"> </w:t>
      </w:r>
      <w:r>
        <w:rPr>
          <w:i/>
          <w:iCs/>
        </w:rPr>
        <w:t xml:space="preserve">pācaṭai</w:t>
      </w:r>
      <w:r>
        <w:t xml:space="preserve">.</w:t>
      </w:r>
    </w:p>
    <w:p>
      <w:pPr>
        <w:pStyle w:val="BodyText"/>
      </w:pPr>
      <w:r>
        <w:rPr>
          <w:rStyle w:val="ColorGray"/>
        </w:rPr>
        <w:t xml:space="preserve">⟨9⟩</w:t>
      </w:r>
      <w:r>
        <w:t xml:space="preserve"> </w:t>
      </w:r>
      <w:r>
        <w:t xml:space="preserve">ciṭṭaruñ • The Uttaramallūr and Tanjore inscriptions read</w:t>
      </w:r>
      <w:r>
        <w:t xml:space="preserve"> </w:t>
      </w:r>
      <w:r>
        <w:rPr>
          <w:i/>
          <w:iCs/>
        </w:rPr>
        <w:t xml:space="preserve">kiṭṭaruñ</w:t>
      </w:r>
      <w:r>
        <w:t xml:space="preserve">. —</w:t>
      </w:r>
      <w:r>
        <w:t xml:space="preserve"> </w:t>
      </w:r>
      <w:r>
        <w:rPr>
          <w:rStyle w:val="ColorGray"/>
        </w:rPr>
        <w:t xml:space="preserve">⟨9⟩</w:t>
      </w:r>
      <w:r>
        <w:t xml:space="preserve"> </w:t>
      </w:r>
      <w:r>
        <w:t xml:space="preserve">miḷaiyoṭṭa • A Chidambaram inscription reads</w:t>
      </w:r>
      <w:r>
        <w:t xml:space="preserve"> </w:t>
      </w:r>
      <w:r>
        <w:rPr>
          <w:i/>
          <w:iCs/>
        </w:rPr>
        <w:t xml:space="preserve">puṉaloṭṭa</w:t>
      </w:r>
      <w:r>
        <w:t xml:space="preserve"> </w:t>
      </w:r>
      <w:r>
        <w:t xml:space="preserve">instead of</w:t>
      </w:r>
      <w:r>
        <w:t xml:space="preserve"> </w:t>
      </w:r>
      <w:r>
        <w:rPr>
          <w:i/>
          <w:iCs/>
        </w:rPr>
        <w:t xml:space="preserve">miḷaiyoṭṭa</w:t>
      </w:r>
      <w:r>
        <w:t xml:space="preserve">. —</w:t>
      </w:r>
      <w:r>
        <w:t xml:space="preserve"> </w:t>
      </w:r>
      <w:r>
        <w:rPr>
          <w:rStyle w:val="ColorGray"/>
        </w:rPr>
        <w:t xml:space="preserve">⟨9⟩</w:t>
      </w:r>
      <w:r>
        <w:t xml:space="preserve"> </w:t>
      </w:r>
      <w:r>
        <w:t xml:space="preserve">yutti • The Chidambaram and Tanjore inscriptions read</w:t>
      </w:r>
      <w:r>
        <w:t xml:space="preserve"> </w:t>
      </w:r>
      <w:r>
        <w:rPr>
          <w:i/>
          <w:iCs/>
        </w:rPr>
        <w:t xml:space="preserve">putti</w:t>
      </w:r>
      <w:r>
        <w:t xml:space="preserve">.</w:t>
      </w:r>
    </w:p>
    <w:p>
      <w:pPr>
        <w:pStyle w:val="BodyText"/>
      </w:pPr>
      <w:r>
        <w:rPr>
          <w:rStyle w:val="ColorGray"/>
        </w:rPr>
        <w:t xml:space="preserve">⟨11⟩</w:t>
      </w:r>
      <w:r>
        <w:t xml:space="preserve"> </w:t>
      </w:r>
      <w:r>
        <w:t xml:space="preserve">veñcama • The inscription No.</w:t>
      </w:r>
      <w:r>
        <w:t xml:space="preserve"> </w:t>
      </w:r>
      <w:hyperlink r:id="rId30">
        <w:r>
          <w:rPr>
            <w:rStyle w:val="Hyperlink"/>
          </w:rPr>
          <w:t xml:space="preserve">68</w:t>
        </w:r>
      </w:hyperlink>
      <w:r>
        <w:t xml:space="preserve"> </w:t>
      </w:r>
      <w:r>
        <w:t xml:space="preserve">reads</w:t>
      </w:r>
      <w:r>
        <w:t xml:space="preserve"> </w:t>
      </w:r>
      <w:r>
        <w:rPr>
          <w:i/>
          <w:iCs/>
        </w:rPr>
        <w:t xml:space="preserve">camar</w:t>
      </w:r>
      <w:r>
        <w:t xml:space="preserve"> </w:t>
      </w:r>
      <w:r>
        <w:t xml:space="preserve">for</w:t>
      </w:r>
      <w:r>
        <w:t xml:space="preserve"> </w:t>
      </w:r>
      <w:r>
        <w:rPr>
          <w:i/>
          <w:iCs/>
        </w:rPr>
        <w:t xml:space="preserve">cama</w:t>
      </w:r>
      <w:r>
        <w:t xml:space="preserve">. —</w:t>
      </w:r>
      <w:r>
        <w:t xml:space="preserve"> </w:t>
      </w:r>
      <w:r>
        <w:rPr>
          <w:rStyle w:val="ColorGray"/>
        </w:rPr>
        <w:t xml:space="preserve">⟨11⟩</w:t>
      </w:r>
      <w:r>
        <w:t xml:space="preserve"> </w:t>
      </w:r>
      <w:r>
        <w:t xml:space="preserve">veṟi • An Uttaramallūr inscription reads</w:t>
      </w:r>
      <w:r>
        <w:t xml:space="preserve"> </w:t>
      </w:r>
      <w:r>
        <w:rPr>
          <w:i/>
          <w:iCs/>
        </w:rPr>
        <w:t xml:space="preserve">Eṟi</w:t>
      </w:r>
      <w:r>
        <w:t xml:space="preserve">.</w:t>
      </w:r>
    </w:p>
    <w:p>
      <w:pPr>
        <w:pStyle w:val="Heading1"/>
      </w:pPr>
      <w:r>
        <w:t xml:space="preserve">Translation by Hultzsch 1890</w:t>
      </w:r>
    </w:p>
    <w:p>
      <w:pPr>
        <w:pStyle w:val="FirstParagraph"/>
      </w:pPr>
      <w:r>
        <w:t xml:space="preserve">Hail! Prosperity! In the 12th year of (</w:t>
      </w:r>
      <w:r>
        <w:rPr>
          <w:i/>
          <w:iCs/>
        </w:rPr>
        <w:t xml:space="preserve">the reign of</w:t>
      </w:r>
      <w:r>
        <w:t xml:space="preserve">)</w:t>
      </w:r>
      <w:r>
        <w:t xml:space="preserve"> </w:t>
      </w:r>
      <w:r>
        <w:rPr>
          <w:b/>
          <w:bCs/>
        </w:rPr>
        <w:t xml:space="preserve">Ko-Parakesarivarman</w:t>
      </w:r>
      <w:r>
        <w:t xml:space="preserve">,</w:t>
      </w:r>
      <w:r>
        <w:t xml:space="preserve"> </w:t>
      </w:r>
      <w:r>
        <w:rPr>
          <w:i/>
          <w:iCs/>
        </w:rPr>
        <w:t xml:space="preserve">alias</w:t>
      </w:r>
      <w:r>
        <w:t xml:space="preserve"> </w:t>
      </w:r>
      <w:r>
        <w:rPr>
          <w:b/>
          <w:bCs/>
        </w:rPr>
        <w:t xml:space="preserve">Uḍaiyār Śrī-Rājendra-Choḷa-deva</w:t>
      </w:r>
      <w:r>
        <w:t xml:space="preserve">, who,—during his long life (</w:t>
      </w:r>
      <w:r>
        <w:rPr>
          <w:i/>
          <w:iCs/>
        </w:rPr>
        <w:t xml:space="preserve">which resembled that of</w:t>
      </w:r>
      <w:r>
        <w:t xml:space="preserve">) pure people, (</w:t>
      </w:r>
      <w:r>
        <w:rPr>
          <w:i/>
          <w:iCs/>
        </w:rPr>
        <w:t xml:space="preserve">and in which</w:t>
      </w:r>
      <w:r>
        <w:t xml:space="preserve">) the great goddess of the earth, the goddess of victory in battle, and the beautiful and matchless goddess of fortune, who had become his great queens, gave him pleasure, while (</w:t>
      </w:r>
      <w:r>
        <w:rPr>
          <w:i/>
          <w:iCs/>
        </w:rPr>
        <w:t xml:space="preserve">his own</w:t>
      </w:r>
      <w:r>
        <w:t xml:space="preserve">) illustrious queen was prospering,—conquered with (</w:t>
      </w:r>
      <w:r>
        <w:rPr>
          <w:i/>
          <w:iCs/>
        </w:rPr>
        <w:t xml:space="preserve">his</w:t>
      </w:r>
      <w:r>
        <w:t xml:space="preserve">) great and warlike army</w:t>
      </w:r>
      <w:r>
        <w:t xml:space="preserve"> </w:t>
      </w:r>
      <w:r>
        <w:rPr>
          <w:b/>
          <w:bCs/>
        </w:rPr>
        <w:t xml:space="preserve">Iḍaituṟai-nāḍu; Vaṉavāśi</w:t>
      </w:r>
      <w:r>
        <w:t xml:space="preserve">, the roads (</w:t>
      </w:r>
      <w:r>
        <w:rPr>
          <w:i/>
          <w:iCs/>
        </w:rPr>
        <w:t xml:space="preserve">to which are bounded by</w:t>
      </w:r>
      <w:r>
        <w:t xml:space="preserve">) continuous walls of trees;</w:t>
      </w:r>
      <w:r>
        <w:t xml:space="preserve"> </w:t>
      </w:r>
      <w:r>
        <w:rPr>
          <w:b/>
          <w:bCs/>
        </w:rPr>
        <w:t xml:space="preserve">Koḷḷippākkai</w:t>
      </w:r>
      <w:r>
        <w:t xml:space="preserve">, whose walls are surrounded by</w:t>
      </w:r>
      <w:r>
        <w:t xml:space="preserve"> </w:t>
      </w:r>
      <w:r>
        <w:rPr>
          <w:i/>
          <w:iCs/>
        </w:rPr>
        <w:t xml:space="preserve">śuḷḷi (trees</w:t>
      </w:r>
      <w:r>
        <w:t xml:space="preserve">);</w:t>
      </w:r>
      <w:r>
        <w:t xml:space="preserve"> </w:t>
      </w:r>
      <w:r>
        <w:rPr>
          <w:b/>
          <w:bCs/>
        </w:rPr>
        <w:t xml:space="preserve">Maṇṇaikkaḍakkam</w:t>
      </w:r>
      <w:r>
        <w:t xml:space="preserve"> </w:t>
      </w:r>
      <w:r>
        <w:t xml:space="preserve">of unapproachable strength; the crown of the king of</w:t>
      </w:r>
      <w:r>
        <w:t xml:space="preserve"> </w:t>
      </w:r>
      <w:r>
        <w:rPr>
          <w:b/>
          <w:bCs/>
        </w:rPr>
        <w:t xml:space="preserve">Īṛam</w:t>
      </w:r>
      <w:r>
        <w:t xml:space="preserve">, (</w:t>
      </w:r>
      <w:r>
        <w:rPr>
          <w:i/>
          <w:iCs/>
        </w:rPr>
        <w:t xml:space="preserve">which is situated in the midst of</w:t>
      </w:r>
      <w:r>
        <w:t xml:space="preserve">) the rough sea; the exceedingly beautiful crown of the queen of the king of that (</w:t>
      </w:r>
      <w:r>
        <w:rPr>
          <w:i/>
          <w:iCs/>
        </w:rPr>
        <w:t xml:space="preserve">country</w:t>
      </w:r>
      <w:r>
        <w:t xml:space="preserve">); the crown of</w:t>
      </w:r>
      <w:r>
        <w:t xml:space="preserve"> </w:t>
      </w:r>
      <w:r>
        <w:rPr>
          <w:b/>
          <w:bCs/>
        </w:rPr>
        <w:t xml:space="preserve">Sundara</w:t>
      </w:r>
      <w:r>
        <w:t xml:space="preserve">, which the king of the South (i.e.,</w:t>
      </w:r>
      <w:r>
        <w:t xml:space="preserve"> </w:t>
      </w:r>
      <w:r>
        <w:rPr>
          <w:i/>
          <w:iCs/>
        </w:rPr>
        <w:t xml:space="preserve">the Pāṇḍya</w:t>
      </w:r>
      <w:r>
        <w:t xml:space="preserve">) had formerly given to that (</w:t>
      </w:r>
      <w:r>
        <w:rPr>
          <w:i/>
          <w:iCs/>
        </w:rPr>
        <w:t xml:space="preserve">king of</w:t>
      </w:r>
      <w:r>
        <w:t xml:space="preserve"> </w:t>
      </w:r>
      <w:r>
        <w:t xml:space="preserve">Īṛam); the pearl-necklace of</w:t>
      </w:r>
      <w:r>
        <w:t xml:space="preserve"> </w:t>
      </w:r>
      <w:r>
        <w:rPr>
          <w:b/>
          <w:bCs/>
        </w:rPr>
        <w:t xml:space="preserve">Indra</w:t>
      </w:r>
      <w:r>
        <w:t xml:space="preserve">; the whole</w:t>
      </w:r>
      <w:r>
        <w:t xml:space="preserve"> </w:t>
      </w:r>
      <w:r>
        <w:rPr>
          <w:b/>
          <w:bCs/>
        </w:rPr>
        <w:t xml:space="preserve">Īṛa-maṇḍalam</w:t>
      </w:r>
      <w:r>
        <w:t xml:space="preserve"> </w:t>
      </w:r>
      <w:r>
        <w:t xml:space="preserve">on the transparent sea; the crown praised by many, a family-treasure, which the spearthrowing (</w:t>
      </w:r>
      <w:r>
        <w:rPr>
          <w:i/>
          <w:iCs/>
        </w:rPr>
        <w:t xml:space="preserve">king of</w:t>
      </w:r>
      <w:r>
        <w:t xml:space="preserve">)</w:t>
      </w:r>
      <w:r>
        <w:t xml:space="preserve"> </w:t>
      </w:r>
      <w:r>
        <w:rPr>
          <w:b/>
          <w:bCs/>
        </w:rPr>
        <w:t xml:space="preserve">Keraḷa</w:t>
      </w:r>
      <w:r>
        <w:t xml:space="preserve"> </w:t>
      </w:r>
      <w:r>
        <w:t xml:space="preserve">usually wore; the garland of the sun (?); many ancient islands, which are the old and great guards of the shore, against which conches are dashed; the crown of pure gold, worthy of</w:t>
      </w:r>
      <w:r>
        <w:t xml:space="preserve"> </w:t>
      </w:r>
      <w:r>
        <w:rPr>
          <w:b/>
          <w:bCs/>
        </w:rPr>
        <w:t xml:space="preserve">Lakshmī</w:t>
      </w:r>
      <w:r>
        <w:t xml:space="preserve">, which</w:t>
      </w:r>
      <w:r>
        <w:t xml:space="preserve"> </w:t>
      </w:r>
      <w:r>
        <w:rPr>
          <w:b/>
          <w:bCs/>
        </w:rPr>
        <w:t xml:space="preserve">Paraśurāma</w:t>
      </w:r>
      <w:r>
        <w:t xml:space="preserve">, who, out of anger, bound the kings twenty-one times in battle, having thought the fort of the island of</w:t>
      </w:r>
      <w:r>
        <w:t xml:space="preserve"> </w:t>
      </w:r>
      <w:r>
        <w:rPr>
          <w:b/>
          <w:bCs/>
        </w:rPr>
        <w:t xml:space="preserve">Śāndima</w:t>
      </w:r>
      <w:r>
        <w:t xml:space="preserve"> </w:t>
      </w:r>
      <w:r>
        <w:t xml:space="preserve">(i.e.,</w:t>
      </w:r>
      <w:r>
        <w:t xml:space="preserve"> </w:t>
      </w:r>
      <w:r>
        <w:rPr>
          <w:i/>
          <w:iCs/>
        </w:rPr>
        <w:t xml:space="preserve">Śāntimat ?</w:t>
      </w:r>
      <w:r>
        <w:t xml:space="preserve">) unapproachable, had deposited (</w:t>
      </w:r>
      <w:r>
        <w:rPr>
          <w:i/>
          <w:iCs/>
        </w:rPr>
        <w:t xml:space="preserve">there</w:t>
      </w:r>
      <w:r>
        <w:t xml:space="preserve">); the seven and a half</w:t>
      </w:r>
      <w:r>
        <w:t xml:space="preserve"> </w:t>
      </w:r>
      <w:r>
        <w:rPr>
          <w:i/>
          <w:iCs/>
        </w:rPr>
        <w:t xml:space="preserve">lakshas</w:t>
      </w:r>
      <w:r>
        <w:t xml:space="preserve"> </w:t>
      </w:r>
      <w:r>
        <w:t xml:space="preserve">of</w:t>
      </w:r>
      <w:r>
        <w:t xml:space="preserve"> </w:t>
      </w:r>
      <w:r>
        <w:rPr>
          <w:b/>
          <w:bCs/>
        </w:rPr>
        <w:t xml:space="preserve">Iraṭṭa-pāḍi</w:t>
      </w:r>
      <w:r>
        <w:t xml:space="preserve">—through the conquest of which immeasurable fame arose—(</w:t>
      </w:r>
      <w:r>
        <w:rPr>
          <w:i/>
          <w:iCs/>
        </w:rPr>
        <w:t xml:space="preserve">of</w:t>
      </w:r>
      <w:r>
        <w:t xml:space="preserve">)</w:t>
      </w:r>
      <w:r>
        <w:t xml:space="preserve"> </w:t>
      </w:r>
      <w:r>
        <w:rPr>
          <w:b/>
          <w:bCs/>
        </w:rPr>
        <w:t xml:space="preserve">Jayasiṁha</w:t>
      </w:r>
      <w:r>
        <w:t xml:space="preserve">, who, out of fear and full of revenge, turned his back at</w:t>
      </w:r>
      <w:r>
        <w:t xml:space="preserve"> </w:t>
      </w:r>
      <w:r>
        <w:rPr>
          <w:b/>
          <w:bCs/>
        </w:rPr>
        <w:t xml:space="preserve">Muśaṅgi (?)</w:t>
      </w:r>
      <w:r>
        <w:t xml:space="preserve"> </w:t>
      </w:r>
      <w:r>
        <w:t xml:space="preserve">and hid himself; the high mountains of</w:t>
      </w:r>
      <w:r>
        <w:t xml:space="preserve"> </w:t>
      </w:r>
      <w:r>
        <w:rPr>
          <w:b/>
          <w:bCs/>
        </w:rPr>
        <w:t xml:space="preserve">Navanedikkula; Śakkara-koṭṭam</w:t>
      </w:r>
      <w:r>
        <w:t xml:space="preserve"> </w:t>
      </w:r>
      <w:r>
        <w:t xml:space="preserve">(</w:t>
      </w:r>
      <w:r>
        <w:rPr>
          <w:i/>
          <w:iCs/>
        </w:rPr>
        <w:t xml:space="preserve">belonging to</w:t>
      </w:r>
      <w:r>
        <w:t xml:space="preserve">)</w:t>
      </w:r>
      <w:r>
        <w:t xml:space="preserve"> </w:t>
      </w:r>
      <w:r>
        <w:rPr>
          <w:b/>
          <w:bCs/>
        </w:rPr>
        <w:t xml:space="preserve">Vikrama-Vīra; Madura-maṇḍalam</w:t>
      </w:r>
      <w:r>
        <w:t xml:space="preserve"> </w:t>
      </w:r>
      <w:r>
        <w:t xml:space="preserve">with the fort of</w:t>
      </w:r>
      <w:r>
        <w:t xml:space="preserve"> </w:t>
      </w:r>
      <w:r>
        <w:rPr>
          <w:b/>
          <w:bCs/>
        </w:rPr>
        <w:t xml:space="preserve">Mudira-paḍa (?); Nāmaṇaikkoṇam</w:t>
      </w:r>
      <w:r>
        <w:t xml:space="preserve">, which is surrounded by dense groves;</w:t>
      </w:r>
      <w:r>
        <w:t xml:space="preserve"> </w:t>
      </w:r>
      <w:r>
        <w:rPr>
          <w:b/>
          <w:bCs/>
        </w:rPr>
        <w:t xml:space="preserve">Pañchappaḷḷi</w:t>
      </w:r>
      <w:r>
        <w:t xml:space="preserve"> </w:t>
      </w:r>
      <w:r>
        <w:t xml:space="preserve">(</w:t>
      </w:r>
      <w:r>
        <w:rPr>
          <w:i/>
          <w:iCs/>
        </w:rPr>
        <w:t xml:space="preserve">belonging to</w:t>
      </w:r>
      <w:r>
        <w:t xml:space="preserve">)</w:t>
      </w:r>
      <w:r>
        <w:t xml:space="preserve"> </w:t>
      </w:r>
      <w:r>
        <w:rPr>
          <w:b/>
          <w:bCs/>
        </w:rPr>
        <w:t xml:space="preserve">Veñjilai-Vīra</w:t>
      </w:r>
      <w:r>
        <w:rPr>
          <w:rStyle w:val="FootnoteReference"/>
        </w:rPr>
        <w:footnoteReference w:id="31"/>
      </w:r>
      <w:r>
        <w:t xml:space="preserve">; the good</w:t>
      </w:r>
      <w:r>
        <w:t xml:space="preserve"> </w:t>
      </w:r>
      <w:r>
        <w:rPr>
          <w:b/>
          <w:bCs/>
        </w:rPr>
        <w:t xml:space="preserve">Māśuṇi-deśa</w:t>
      </w:r>
      <w:r>
        <w:t xml:space="preserve">, where leaves and fruits are green; the large heap of family-treasures, together with many (</w:t>
      </w:r>
      <w:r>
        <w:rPr>
          <w:i/>
          <w:iCs/>
        </w:rPr>
        <w:t xml:space="preserve">other</w:t>
      </w:r>
      <w:r>
        <w:t xml:space="preserve">) treasures, (</w:t>
      </w:r>
      <w:r>
        <w:rPr>
          <w:i/>
          <w:iCs/>
        </w:rPr>
        <w:t xml:space="preserve">which he carried away</w:t>
      </w:r>
      <w:r>
        <w:t xml:space="preserve">) after having seized</w:t>
      </w:r>
      <w:r>
        <w:t xml:space="preserve"> </w:t>
      </w:r>
      <w:r>
        <w:rPr>
          <w:b/>
          <w:bCs/>
        </w:rPr>
        <w:t xml:space="preserve">Dhīratara</w:t>
      </w:r>
      <w:r>
        <w:t xml:space="preserve"> </w:t>
      </w:r>
      <w:r>
        <w:t xml:space="preserve">of the old race of the moon, together with his family, in a fight which took place in the hall (</w:t>
      </w:r>
      <w:r>
        <w:rPr>
          <w:i/>
          <w:iCs/>
        </w:rPr>
        <w:t xml:space="preserve">at</w:t>
      </w:r>
      <w:r>
        <w:t xml:space="preserve">)</w:t>
      </w:r>
      <w:r>
        <w:t xml:space="preserve"> </w:t>
      </w:r>
      <w:r>
        <w:rPr>
          <w:b/>
          <w:bCs/>
        </w:rPr>
        <w:t xml:space="preserve">Ādinagar</w:t>
      </w:r>
      <w:r>
        <w:t xml:space="preserve">, (</w:t>
      </w:r>
      <w:r>
        <w:rPr>
          <w:i/>
          <w:iCs/>
        </w:rPr>
        <w:t xml:space="preserve">a city</w:t>
      </w:r>
      <w:r>
        <w:t xml:space="preserve">) which is famous for its unceasing abundance;</w:t>
      </w:r>
      <w:r>
        <w:t xml:space="preserve"> </w:t>
      </w:r>
      <w:r>
        <w:rPr>
          <w:b/>
          <w:bCs/>
        </w:rPr>
        <w:t xml:space="preserve">Oḍḍa-vishaya</w:t>
      </w:r>
      <w:r>
        <w:t xml:space="preserve">, whose copious waters are difficult to approach; the good</w:t>
      </w:r>
      <w:r>
        <w:t xml:space="preserve"> </w:t>
      </w:r>
      <w:r>
        <w:rPr>
          <w:b/>
          <w:bCs/>
        </w:rPr>
        <w:t xml:space="preserve">Kośalai-nāḍu</w:t>
      </w:r>
      <w:r>
        <w:t xml:space="preserve">, where</w:t>
      </w:r>
      <w:r>
        <w:t xml:space="preserve"> </w:t>
      </w:r>
      <w:r>
        <w:rPr>
          <w:i/>
          <w:iCs/>
        </w:rPr>
        <w:t xml:space="preserve">Brāhmaṇas</w:t>
      </w:r>
      <w:r>
        <w:t xml:space="preserve"> </w:t>
      </w:r>
      <w:r>
        <w:t xml:space="preserve">assemble;</w:t>
      </w:r>
      <w:r>
        <w:t xml:space="preserve"> </w:t>
      </w:r>
      <w:r>
        <w:rPr>
          <w:b/>
          <w:bCs/>
        </w:rPr>
        <w:t xml:space="preserve">Daṇḍabutti</w:t>
      </w:r>
      <w:r>
        <w:t xml:space="preserve"> </w:t>
      </w:r>
      <w:r>
        <w:t xml:space="preserve">(i.e.,</w:t>
      </w:r>
      <w:r>
        <w:t xml:space="preserve"> </w:t>
      </w:r>
      <w:r>
        <w:rPr>
          <w:i/>
          <w:iCs/>
        </w:rPr>
        <w:t xml:space="preserve">Daṇḍa-bhukti</w:t>
      </w:r>
      <w:r>
        <w:t xml:space="preserve">), in whose gardens bees abound, (</w:t>
      </w:r>
      <w:r>
        <w:rPr>
          <w:i/>
          <w:iCs/>
        </w:rPr>
        <w:t xml:space="preserve">and which he acquired</w:t>
      </w:r>
      <w:r>
        <w:t xml:space="preserve">) after having destroyed</w:t>
      </w:r>
      <w:r>
        <w:t xml:space="preserve"> </w:t>
      </w:r>
      <w:r>
        <w:rPr>
          <w:b/>
          <w:bCs/>
        </w:rPr>
        <w:t xml:space="preserve">Dharmapāla</w:t>
      </w:r>
      <w:r>
        <w:t xml:space="preserve"> </w:t>
      </w:r>
      <w:r>
        <w:t xml:space="preserve">in a hot battle;</w:t>
      </w:r>
      <w:r>
        <w:t xml:space="preserve"> </w:t>
      </w:r>
      <w:r>
        <w:rPr>
          <w:b/>
          <w:bCs/>
        </w:rPr>
        <w:t xml:space="preserve">Takkaṇalāḍam</w:t>
      </w:r>
      <w:r>
        <w:t xml:space="preserve"> </w:t>
      </w:r>
      <w:r>
        <w:t xml:space="preserve">(i.e.,</w:t>
      </w:r>
      <w:r>
        <w:t xml:space="preserve"> </w:t>
      </w:r>
      <w:r>
        <w:rPr>
          <w:i/>
          <w:iCs/>
        </w:rPr>
        <w:t xml:space="preserve">Dakshiṇa-Lāṭa</w:t>
      </w:r>
      <w:r>
        <w:t xml:space="preserve">), whose fame reaches (</w:t>
      </w:r>
      <w:r>
        <w:rPr>
          <w:i/>
          <w:iCs/>
        </w:rPr>
        <w:t xml:space="preserve">all</w:t>
      </w:r>
      <w:r>
        <w:t xml:space="preserve">) directions, (</w:t>
      </w:r>
      <w:r>
        <w:rPr>
          <w:i/>
          <w:iCs/>
        </w:rPr>
        <w:t xml:space="preserve">and which he occupied</w:t>
      </w:r>
      <w:r>
        <w:t xml:space="preserve">) after having forcibly attacked</w:t>
      </w:r>
      <w:r>
        <w:t xml:space="preserve"> </w:t>
      </w:r>
      <w:r>
        <w:rPr>
          <w:b/>
          <w:bCs/>
        </w:rPr>
        <w:t xml:space="preserve">Raṇaśūra; Vaṅgāḷa-deśa</w:t>
      </w:r>
      <w:r>
        <w:t xml:space="preserve">, where the rain does not last (</w:t>
      </w:r>
      <w:r>
        <w:rPr>
          <w:i/>
          <w:iCs/>
        </w:rPr>
        <w:t xml:space="preserve">long</w:t>
      </w:r>
      <w:r>
        <w:t xml:space="preserve">), and from which</w:t>
      </w:r>
      <w:r>
        <w:t xml:space="preserve"> </w:t>
      </w:r>
      <w:r>
        <w:rPr>
          <w:b/>
          <w:bCs/>
        </w:rPr>
        <w:t xml:space="preserve">Govindachandra</w:t>
      </w:r>
      <w:r>
        <w:t xml:space="preserve">, having lost his fortune, fled; elephants of rare strength, (</w:t>
      </w:r>
      <w:r>
        <w:rPr>
          <w:i/>
          <w:iCs/>
        </w:rPr>
        <w:t xml:space="preserve">which he took away</w:t>
      </w:r>
      <w:r>
        <w:t xml:space="preserve">) after having been pleased to frighten in a hot battle</w:t>
      </w:r>
      <w:r>
        <w:t xml:space="preserve"> </w:t>
      </w:r>
      <w:r>
        <w:rPr>
          <w:b/>
          <w:bCs/>
        </w:rPr>
        <w:t xml:space="preserve">Mahīpāla</w:t>
      </w:r>
      <w:r>
        <w:t xml:space="preserve"> </w:t>
      </w:r>
      <w:r>
        <w:t xml:space="preserve">of</w:t>
      </w:r>
      <w:r>
        <w:t xml:space="preserve"> </w:t>
      </w:r>
      <w:r>
        <w:rPr>
          <w:b/>
          <w:bCs/>
        </w:rPr>
        <w:t xml:space="preserve">Śaṅgu-koṭṭam</w:t>
      </w:r>
      <w:r>
        <w:t xml:space="preserve"> </w:t>
      </w:r>
      <w:r>
        <w:t xml:space="preserve">(?), which touches the sea; the treasures of women (?);</w:t>
      </w:r>
      <w:r>
        <w:t xml:space="preserve"> </w:t>
      </w:r>
      <w:r>
        <w:rPr>
          <w:b/>
          <w:bCs/>
        </w:rPr>
        <w:t xml:space="preserve">Uttiralāḍam</w:t>
      </w:r>
      <w:r>
        <w:t xml:space="preserve"> </w:t>
      </w:r>
      <w:r>
        <w:t xml:space="preserve">(i.e.,</w:t>
      </w:r>
      <w:r>
        <w:t xml:space="preserve"> </w:t>
      </w:r>
      <w:r>
        <w:rPr>
          <w:i/>
          <w:iCs/>
        </w:rPr>
        <w:t xml:space="preserve">Uttara-Lāṭa</w:t>
      </w:r>
      <w:r>
        <w:t xml:space="preserve">) on the great sea of pearls; and the</w:t>
      </w:r>
      <w:r>
        <w:t xml:space="preserve"> </w:t>
      </w:r>
      <w:r>
        <w:rPr>
          <w:b/>
          <w:bCs/>
        </w:rPr>
        <w:t xml:space="preserve">Gaṅgā</w:t>
      </w:r>
      <w:r>
        <w:t xml:space="preserve">, whose waters sprinkle</w:t>
      </w:r>
      <w:r>
        <w:t xml:space="preserve"> </w:t>
      </w:r>
      <w:r>
        <w:rPr>
          <w:i/>
          <w:iCs/>
        </w:rPr>
        <w:t xml:space="preserve">tīrthas</w:t>
      </w:r>
      <w:r>
        <w:t xml:space="preserve"> </w:t>
      </w:r>
      <w:r>
        <w:t xml:space="preserve">on the burning sand:—</w:t>
      </w:r>
    </w:p>
    <w:p>
      <w:pPr>
        <w:pStyle w:val="BodyText"/>
      </w:pPr>
      <w:r>
        <w:rPr>
          <w:b/>
          <w:bCs/>
        </w:rPr>
        <w:t xml:space="preserve">Chāmuṇḍappai</w:t>
      </w:r>
      <w:r>
        <w:t xml:space="preserve">, the wife of the merchant</w:t>
      </w:r>
      <w:r>
        <w:t xml:space="preserve"> </w:t>
      </w:r>
      <w:r>
        <w:rPr>
          <w:b/>
          <w:bCs/>
        </w:rPr>
        <w:t xml:space="preserve">Nannappayaṉ</w:t>
      </w:r>
      <w:r>
        <w:t xml:space="preserve">, who lives at</w:t>
      </w:r>
      <w:r>
        <w:t xml:space="preserve"> </w:t>
      </w:r>
      <w:r>
        <w:rPr>
          <w:b/>
          <w:bCs/>
        </w:rPr>
        <w:t xml:space="preserve">Perumbāṇappāḍi</w:t>
      </w:r>
      <w:r>
        <w:t xml:space="preserve">, (</w:t>
      </w:r>
      <w:r>
        <w:rPr>
          <w:i/>
          <w:iCs/>
        </w:rPr>
        <w:t xml:space="preserve">alias</w:t>
      </w:r>
      <w:r>
        <w:t xml:space="preserve">)</w:t>
      </w:r>
      <w:r>
        <w:t xml:space="preserve"> </w:t>
      </w:r>
      <w:r>
        <w:rPr>
          <w:b/>
          <w:bCs/>
        </w:rPr>
        <w:t xml:space="preserve">Karaivaṛi-malliyūr</w:t>
      </w:r>
      <w:r>
        <w:t xml:space="preserve">, gave a</w:t>
      </w:r>
      <w:r>
        <w:t xml:space="preserve"> </w:t>
      </w:r>
      <w:r>
        <w:rPr>
          <w:i/>
          <w:iCs/>
        </w:rPr>
        <w:t xml:space="preserve">tirunandā</w:t>
      </w:r>
      <w:r>
        <w:t xml:space="preserve"> </w:t>
      </w:r>
      <w:r>
        <w:t xml:space="preserve">lamp to the temple (</w:t>
      </w:r>
      <w:r>
        <w:rPr>
          <w:i/>
          <w:iCs/>
        </w:rPr>
        <w:t xml:space="preserve">called</w:t>
      </w:r>
      <w:r>
        <w:t xml:space="preserve">)</w:t>
      </w:r>
      <w:r>
        <w:t xml:space="preserve"> </w:t>
      </w:r>
      <w:r>
        <w:rPr>
          <w:b/>
          <w:bCs/>
        </w:rPr>
        <w:t xml:space="preserve">Srī-Kundavai-Jinālaya</w:t>
      </w:r>
      <w:r>
        <w:t xml:space="preserve"> </w:t>
      </w:r>
      <w:r>
        <w:t xml:space="preserve">(</w:t>
      </w:r>
      <w:r>
        <w:rPr>
          <w:i/>
          <w:iCs/>
        </w:rPr>
        <w:t xml:space="preserve">on</w:t>
      </w:r>
      <w:r>
        <w:t xml:space="preserve">) the holy mountain (</w:t>
      </w:r>
      <w:r>
        <w:rPr>
          <w:i/>
          <w:iCs/>
        </w:rPr>
        <w:t xml:space="preserve">Tirumalai) (at</w:t>
      </w:r>
      <w:r>
        <w:t xml:space="preserve">) the</w:t>
      </w:r>
      <w:r>
        <w:t xml:space="preserve"> </w:t>
      </w:r>
      <w:r>
        <w:rPr>
          <w:i/>
          <w:iCs/>
        </w:rPr>
        <w:t xml:space="preserve">paḷḷichchandam</w:t>
      </w:r>
      <w:r>
        <w:rPr>
          <w:rStyle w:val="FootnoteReference"/>
        </w:rPr>
        <w:footnoteReference w:id="32"/>
      </w:r>
      <w:r>
        <w:t xml:space="preserve"> </w:t>
      </w:r>
      <w:r>
        <w:t xml:space="preserve">of</w:t>
      </w:r>
      <w:r>
        <w:t xml:space="preserve"> </w:t>
      </w:r>
      <w:r>
        <w:rPr>
          <w:b/>
          <w:bCs/>
        </w:rPr>
        <w:t xml:space="preserve">Vaigavūr</w:t>
      </w:r>
      <w:r>
        <w:t xml:space="preserve"> </w:t>
      </w:r>
      <w:r>
        <w:t xml:space="preserve">in</w:t>
      </w:r>
      <w:r>
        <w:t xml:space="preserve"> </w:t>
      </w:r>
      <w:r>
        <w:rPr>
          <w:b/>
          <w:bCs/>
        </w:rPr>
        <w:t xml:space="preserve">Mugai-nāḍu</w:t>
      </w:r>
      <w:r>
        <w:t xml:space="preserve">, a division in the middle of</w:t>
      </w:r>
      <w:r>
        <w:t xml:space="preserve"> </w:t>
      </w:r>
      <w:r>
        <w:rPr>
          <w:b/>
          <w:bCs/>
        </w:rPr>
        <w:t xml:space="preserve">Paṅgaḷa-nāḍu</w:t>
      </w:r>
      <w:r>
        <w:t xml:space="preserve">, (</w:t>
      </w:r>
      <w:r>
        <w:rPr>
          <w:i/>
          <w:iCs/>
        </w:rPr>
        <w:t xml:space="preserve">which forms part</w:t>
      </w:r>
      <w:r>
        <w:t xml:space="preserve">) of</w:t>
      </w:r>
      <w:r>
        <w:t xml:space="preserve"> </w:t>
      </w:r>
      <w:r>
        <w:rPr>
          <w:b/>
          <w:bCs/>
        </w:rPr>
        <w:t xml:space="preserve">Jayaṅkoṇḍa-Śoṛa-maṇḍalam</w:t>
      </w:r>
      <w:r>
        <w:t xml:space="preserve">.</w:t>
      </w:r>
    </w:p>
    <w:p>
      <w:pPr>
        <w:pStyle w:val="Heading1"/>
      </w:pPr>
      <w:r>
        <w:t xml:space="preserve">Commentary</w:t>
      </w:r>
    </w:p>
    <w:p>
      <w:pPr>
        <w:pStyle w:val="FirstParagraph"/>
      </w:pPr>
      <w:r>
        <w:t xml:space="preserve">The remainder of the inscription is written in faint and small characters, and seems to be a rough postscript, which was added after the bulk of the inscription had been carefully engraved by a skilled stonemason.</w:t>
      </w:r>
    </w:p>
    <w:p>
      <w:pPr>
        <w:pStyle w:val="BodyText"/>
      </w:pPr>
      <w:r>
        <w:rPr>
          <w:i/>
          <w:iCs/>
        </w:rPr>
        <w:t xml:space="preserve">Postscript</w:t>
      </w:r>
      <w:r>
        <w:t xml:space="preserve">. Twenty</w:t>
      </w:r>
      <w:r>
        <w:t xml:space="preserve"> </w:t>
      </w:r>
      <w:r>
        <w:rPr>
          <w:i/>
          <w:iCs/>
        </w:rPr>
        <w:t xml:space="preserve">kāśus</w:t>
      </w:r>
      <w:r>
        <w:t xml:space="preserve"> </w:t>
      </w:r>
      <w:r>
        <w:t xml:space="preserve">were given for one (</w:t>
      </w:r>
      <w:r>
        <w:rPr>
          <w:i/>
          <w:iCs/>
        </w:rPr>
        <w:t xml:space="preserve">lamp</w:t>
      </w:r>
      <w:r>
        <w:t xml:space="preserve">) and ten</w:t>
      </w:r>
      <w:r>
        <w:t xml:space="preserve"> </w:t>
      </w:r>
      <w:r>
        <w:rPr>
          <w:i/>
          <w:iCs/>
        </w:rPr>
        <w:t xml:space="preserve">kāśus</w:t>
      </w:r>
      <w:r>
        <w:t xml:space="preserve"> </w:t>
      </w:r>
      <w:r>
        <w:t xml:space="preserve">for the sacred food.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Digital edition of SII 1.67 by Hultzsch 1890 converted to DHARMA conventions by Emmanuel Francis.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[SII]</w:t>
      </w:r>
      <w:r>
        <w:t xml:space="preserve"> </w:t>
      </w:r>
      <w:r>
        <w:t xml:space="preserve">Hultzsch, Eugen Julius Theodor. 1890.</w:t>
      </w:r>
      <w:r>
        <w:t xml:space="preserve"> </w:t>
      </w:r>
      <w:r>
        <w:rPr>
          <w:i/>
          <w:iCs/>
        </w:rPr>
        <w:t xml:space="preserve">South-Indian inscriptions, Tamil and Sanskrit, from stone and copper-plate edicts at Mamallapuram, Kanchipuram, in the North Arcot district, and other parts of the Madras Presidency, chiefly collected in 1886-87. Volume I</w:t>
      </w:r>
      <w:r>
        <w:t xml:space="preserve">. South Indian Inscriptions 1. Madras: Government Press. Pages 95–99, item 67.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i/>
          <w:iCs/>
        </w:rPr>
        <w:t xml:space="preserve">Madras Christian College Magazine</w:t>
      </w:r>
      <w:r>
        <w:t xml:space="preserve">, Vol. V, p. 41.</w:t>
      </w:r>
    </w:p>
  </w:footnote>
  <w:footnote w:id="1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The conquest of “the high mountains of</w:t>
      </w:r>
      <w:r>
        <w:t xml:space="preserve"> </w:t>
      </w:r>
      <w:r>
        <w:rPr>
          <w:b/>
          <w:bCs/>
        </w:rPr>
        <w:t xml:space="preserve">Navanedikkula (?)</w:t>
      </w:r>
      <w:r>
        <w:t xml:space="preserve">” took also place between the 7th and 10th years, but subsequently to the war against</w:t>
      </w:r>
      <w:r>
        <w:t xml:space="preserve"> </w:t>
      </w:r>
      <w:r>
        <w:rPr>
          <w:b/>
          <w:bCs/>
        </w:rPr>
        <w:t xml:space="preserve">Jayasiṁha</w:t>
      </w:r>
      <w:r>
        <w:t xml:space="preserve">.</w:t>
      </w:r>
    </w:p>
  </w:footnote>
  <w:footnote w:id="1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i/>
          <w:iCs/>
        </w:rPr>
        <w:t xml:space="preserve">Ind. Ant</w:t>
      </w:r>
      <w:r>
        <w:t xml:space="preserve">. Vol. VIII, p. 18.</w:t>
      </w:r>
    </w:p>
  </w:footnote>
  <w:footnote w:id="1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i/>
          <w:iCs/>
        </w:rPr>
        <w:t xml:space="preserve">Rājendra-Choḷa-gaja-mṛigarāja; Ind. Ant</w:t>
      </w:r>
      <w:r>
        <w:t xml:space="preserve">. Vol. V, p. 15, lines 13 f. Mr. Rice’s</w:t>
      </w:r>
      <w:r>
        <w:t xml:space="preserve"> </w:t>
      </w:r>
      <w:r>
        <w:rPr>
          <w:i/>
          <w:iCs/>
        </w:rPr>
        <w:t xml:space="preserve">Mysore Inscriptions</w:t>
      </w:r>
      <w:r>
        <w:t xml:space="preserve">, p. 149.</w:t>
      </w:r>
    </w:p>
  </w:footnote>
  <w:footnote w:id="1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See the remarks of Sir W. Elliot in Carr’s</w:t>
      </w:r>
      <w:r>
        <w:t xml:space="preserve"> </w:t>
      </w:r>
      <w:r>
        <w:rPr>
          <w:i/>
          <w:iCs/>
        </w:rPr>
        <w:t xml:space="preserve">Seven Pagodas</w:t>
      </w:r>
      <w:r>
        <w:t xml:space="preserve">, pp. 138 ff.</w:t>
      </w:r>
    </w:p>
  </w:footnote>
  <w:footnote w:id="1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See No.</w:t>
      </w:r>
      <w:r>
        <w:t xml:space="preserve"> </w:t>
      </w:r>
      <w:hyperlink r:id="rId15">
        <w:r>
          <w:rPr>
            <w:rStyle w:val="Hyperlink"/>
          </w:rPr>
          <w:t xml:space="preserve">39</w:t>
        </w:r>
      </w:hyperlink>
      <w:r>
        <w:t xml:space="preserve">, line 26, and</w:t>
      </w:r>
      <w:r>
        <w:t xml:space="preserve"> </w:t>
      </w:r>
      <w:r>
        <w:rPr>
          <w:i/>
          <w:iCs/>
        </w:rPr>
        <w:t xml:space="preserve">Ind. Ant</w:t>
      </w:r>
      <w:r>
        <w:t xml:space="preserve">. Vol. XIV, p. 51, line 29.</w:t>
      </w:r>
    </w:p>
  </w:footnote>
  <w:footnote w:id="1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See p. 51, above.</w:t>
      </w:r>
    </w:p>
  </w:footnote>
  <w:footnote w:id="1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i/>
          <w:iCs/>
        </w:rPr>
        <w:t xml:space="preserve">Ind. Ant</w:t>
      </w:r>
      <w:r>
        <w:t xml:space="preserve">. Vol. XIV, p. 50.</w:t>
      </w:r>
    </w:p>
  </w:footnote>
  <w:footnote w:id="1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See lines 86 to 88 of the large Leyden grant; Dr. Burgess’</w:t>
      </w:r>
      <w:r>
        <w:t xml:space="preserve"> </w:t>
      </w:r>
      <w:r>
        <w:rPr>
          <w:i/>
          <w:iCs/>
        </w:rPr>
        <w:t xml:space="preserve">Arch. Survey of S. India</w:t>
      </w:r>
      <w:r>
        <w:t xml:space="preserve">, Vol. IV, p. 208.</w:t>
      </w:r>
    </w:p>
  </w:footnote>
  <w:footnote w:id="1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i/>
          <w:iCs/>
        </w:rPr>
        <w:t xml:space="preserve">Kanarese Dynasties</w:t>
      </w:r>
      <w:r>
        <w:t xml:space="preserve">, p. 44.</w:t>
      </w:r>
    </w:p>
  </w:footnote>
  <w:footnote w:id="2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Sewell’s</w:t>
      </w:r>
      <w:r>
        <w:t xml:space="preserve"> </w:t>
      </w:r>
      <w:r>
        <w:rPr>
          <w:i/>
          <w:iCs/>
        </w:rPr>
        <w:t xml:space="preserve">Lists of Antiquities</w:t>
      </w:r>
      <w:r>
        <w:t xml:space="preserve">, Vol. II, pp. 218 ff. Dr. Caldwell’s</w:t>
      </w:r>
      <w:r>
        <w:t xml:space="preserve"> </w:t>
      </w:r>
      <w:r>
        <w:rPr>
          <w:i/>
          <w:iCs/>
        </w:rPr>
        <w:t xml:space="preserve">Comparative Grammar</w:t>
      </w:r>
      <w:r>
        <w:t xml:space="preserve">, pp. 139 ff. of the Introduction and pp. 535 ff.</w:t>
      </w:r>
    </w:p>
  </w:footnote>
  <w:footnote w:id="2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Dr. Bühler’s</w:t>
      </w:r>
      <w:r>
        <w:t xml:space="preserve"> </w:t>
      </w:r>
      <w:r>
        <w:rPr>
          <w:i/>
          <w:iCs/>
        </w:rPr>
        <w:t xml:space="preserve">Vikramāṅkacharita</w:t>
      </w:r>
      <w:r>
        <w:t xml:space="preserve">, sarga iv, verse 30.</w:t>
      </w:r>
    </w:p>
  </w:footnote>
  <w:footnote w:id="2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Mr. Fleet’s</w:t>
      </w:r>
      <w:r>
        <w:t xml:space="preserve"> </w:t>
      </w:r>
      <w:r>
        <w:rPr>
          <w:i/>
          <w:iCs/>
        </w:rPr>
        <w:t xml:space="preserve">Kanarese Dynasties</w:t>
      </w:r>
      <w:r>
        <w:t xml:space="preserve">, p. 66.</w:t>
      </w:r>
    </w:p>
  </w:footnote>
  <w:footnote w:id="2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Sanskrit:</w:t>
      </w:r>
      <w:r>
        <w:t xml:space="preserve"> </w:t>
      </w:r>
      <w:r>
        <w:rPr>
          <w:b/>
          <w:bCs/>
        </w:rPr>
        <w:t xml:space="preserve">Oḍra</w:t>
      </w:r>
      <w:r>
        <w:t xml:space="preserve">; Telugu:</w:t>
      </w:r>
      <w:r>
        <w:t xml:space="preserve"> </w:t>
      </w:r>
      <w:r>
        <w:rPr>
          <w:b/>
          <w:bCs/>
        </w:rPr>
        <w:t xml:space="preserve">Ōḍhrulu</w:t>
      </w:r>
      <w:r>
        <w:t xml:space="preserve">, the inhabitants of</w:t>
      </w:r>
      <w:r>
        <w:t xml:space="preserve"> </w:t>
      </w:r>
      <w:r>
        <w:rPr>
          <w:b/>
          <w:bCs/>
        </w:rPr>
        <w:t xml:space="preserve">Ōḍhra-dēśa</w:t>
      </w:r>
      <w:r>
        <w:t xml:space="preserve">; Kanarese:</w:t>
      </w:r>
      <w:r>
        <w:t xml:space="preserve"> </w:t>
      </w:r>
      <w:r>
        <w:rPr>
          <w:b/>
          <w:bCs/>
        </w:rPr>
        <w:t xml:space="preserve">Oḍḍaru</w:t>
      </w:r>
      <w:r>
        <w:t xml:space="preserve">; Tamil:</w:t>
      </w:r>
      <w:r>
        <w:t xml:space="preserve"> </w:t>
      </w:r>
      <w:r>
        <w:rPr>
          <w:i/>
          <w:iCs/>
        </w:rPr>
        <w:t xml:space="preserve">oṭṭar</w:t>
      </w:r>
      <w:r>
        <w:t xml:space="preserve"> </w:t>
      </w:r>
      <w:r>
        <w:t xml:space="preserve">or</w:t>
      </w:r>
      <w:r>
        <w:t xml:space="preserve"> </w:t>
      </w:r>
      <w:r>
        <w:rPr>
          <w:i/>
          <w:iCs/>
        </w:rPr>
        <w:t xml:space="preserve">oṭṭiyar</w:t>
      </w:r>
      <w:r>
        <w:t xml:space="preserve">, the inhabitants of</w:t>
      </w:r>
      <w:r>
        <w:t xml:space="preserve"> </w:t>
      </w:r>
      <w:r>
        <w:rPr>
          <w:i/>
          <w:iCs/>
        </w:rPr>
        <w:t xml:space="preserve">oṭṭam</w:t>
      </w:r>
      <w:r>
        <w:t xml:space="preserve"> </w:t>
      </w:r>
      <w:r>
        <w:t xml:space="preserve">or</w:t>
      </w:r>
      <w:r>
        <w:t xml:space="preserve"> </w:t>
      </w:r>
      <w:r>
        <w:rPr>
          <w:i/>
          <w:iCs/>
        </w:rPr>
        <w:t xml:space="preserve">oṭṭiyam</w:t>
      </w:r>
      <w:r>
        <w:t xml:space="preserve">.</w:t>
      </w:r>
    </w:p>
  </w:footnote>
  <w:footnote w:id="2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Beal’s</w:t>
      </w:r>
      <w:r>
        <w:t xml:space="preserve"> </w:t>
      </w:r>
      <w:r>
        <w:rPr>
          <w:i/>
          <w:iCs/>
        </w:rPr>
        <w:t xml:space="preserve">Si-yu-ki</w:t>
      </w:r>
      <w:r>
        <w:t xml:space="preserve">, Vol. II, p. 204.</w:t>
      </w:r>
    </w:p>
  </w:footnote>
  <w:footnote w:id="2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i/>
          <w:iCs/>
        </w:rPr>
        <w:t xml:space="preserve">Ibid.</w:t>
      </w:r>
      <w:r>
        <w:t xml:space="preserve"> </w:t>
      </w:r>
      <w:r>
        <w:t xml:space="preserve">p. 209.</w:t>
      </w:r>
    </w:p>
  </w:footnote>
  <w:footnote w:id="2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i/>
          <w:iCs/>
        </w:rPr>
        <w:t xml:space="preserve">Arch. Survey of India</w:t>
      </w:r>
      <w:r>
        <w:t xml:space="preserve">, Vol. XVII, p. 68.</w:t>
      </w:r>
    </w:p>
  </w:footnote>
  <w:footnote w:id="2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i/>
          <w:iCs/>
        </w:rPr>
        <w:t xml:space="preserve">Ind. Ant</w:t>
      </w:r>
      <w:r>
        <w:t xml:space="preserve">. Vol. XIV, p. 53, lines 60 f.</w:t>
      </w:r>
    </w:p>
  </w:footnote>
  <w:footnote w:id="2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See paragraph 5 of my</w:t>
      </w:r>
      <w:r>
        <w:t xml:space="preserve"> </w:t>
      </w:r>
      <w:r>
        <w:rPr>
          <w:i/>
          <w:iCs/>
        </w:rPr>
        <w:t xml:space="preserve">Progress Report for February, March and April</w:t>
      </w:r>
      <w:r>
        <w:t xml:space="preserve"> </w:t>
      </w:r>
      <w:r>
        <w:t xml:space="preserve">1888, Madras G.O., 27th July 1888, No. 745, Public.</w:t>
      </w:r>
    </w:p>
  </w:footnote>
  <w:footnote w:id="2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See paragraph 8 of my</w:t>
      </w:r>
      <w:r>
        <w:t xml:space="preserve"> </w:t>
      </w:r>
      <w:r>
        <w:rPr>
          <w:i/>
          <w:iCs/>
        </w:rPr>
        <w:t xml:space="preserve">Progress Report for July, August and September</w:t>
      </w:r>
      <w:r>
        <w:t xml:space="preserve"> </w:t>
      </w:r>
      <w:r>
        <w:t xml:space="preserve">1888, Madras G.O., 7th November 1888, No. 1050, Public.</w:t>
      </w:r>
    </w:p>
  </w:footnote>
  <w:footnote w:id="3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Literally, “the hero of the cruel bow.” Compare</w:t>
      </w:r>
      <w:r>
        <w:t xml:space="preserve"> </w:t>
      </w:r>
      <w:r>
        <w:rPr>
          <w:i/>
          <w:iCs/>
        </w:rPr>
        <w:t xml:space="preserve">veñcilaiccelvaṉ</w:t>
      </w:r>
      <w:r>
        <w:t xml:space="preserve">, an epithet of</w:t>
      </w:r>
      <w:r>
        <w:t xml:space="preserve"> </w:t>
      </w:r>
      <w:r>
        <w:rPr>
          <w:b/>
          <w:bCs/>
        </w:rPr>
        <w:t xml:space="preserve">Vīrabhadra</w:t>
      </w:r>
      <w:r>
        <w:t xml:space="preserve"> </w:t>
      </w:r>
      <w:r>
        <w:t xml:space="preserve">as bearing a cruel bow (</w:t>
      </w:r>
      <w:r>
        <w:rPr>
          <w:i/>
          <w:iCs/>
        </w:rPr>
        <w:t xml:space="preserve">Winslow</w:t>
      </w:r>
      <w:r>
        <w:t xml:space="preserve">).</w:t>
      </w:r>
    </w:p>
  </w:footnote>
  <w:footnote w:id="3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This term probably means “a village belonging to a temple,” “a holy village;” see p. 91, note 5.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https://dharmalekha.info/texts/INSSIIv01p0i0039" TargetMode="External" /><Relationship Type="http://schemas.openxmlformats.org/officeDocument/2006/relationships/hyperlink" Id="rId30" Target="https://dharmalekha.info/texts/INSSIIv01p0i006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https://dharmalekha.info/texts/INSSIIv01p0i0039" TargetMode="External" /><Relationship Type="http://schemas.openxmlformats.org/officeDocument/2006/relationships/hyperlink" Id="rId30" Target="https://dharmalekha.info/texts/INSSIIv01p0i0068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SII 1.67: original edition by Eugen Hultzsch</dc:title>
  <dc:creator>Emmanuel Francis</dc:creator>
  <cp:keywords/>
  <dcterms:created xsi:type="dcterms:W3CDTF">2026-10-15T10:37:13Z</dcterms:created>
  <dcterms:modified xsi:type="dcterms:W3CDTF">2026-10-15T10:37:13Z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