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SII 1.35: original edition by Eugen Hultzsch</w:t>
      </w:r>
    </w:p>
    <w:p>
      <w:pPr>
        <w:pStyle w:val="Author"/>
      </w:pPr>
      <w:r>
        <w:t xml:space="preserve">Emmanuel Francis</w:t>
      </w:r>
    </w:p>
    <w:p>
      <w:pPr>
        <w:pStyle w:val="FirstParagraph"/>
      </w:pPr>
      <w:r>
        <w:t xml:space="preserve">Alternative title: PART I. SANSKRIT INSCRIPTIONS. II. COPPER-PLATE GRANTS OF THE EASTERN CHALUKYA DYNASTY. No. 35. A GRANT OF NARENDRA-MṚIGARĀJA</w:t>
      </w:r>
    </w:p>
    <w:p>
      <w:pPr>
        <w:pStyle w:val="BodyText"/>
      </w:pPr>
      <w:r>
        <w:t xml:space="preserve">Author of digital edition: Emmanuel Francis</w:t>
      </w:r>
    </w:p>
    <w:p>
      <w:pPr>
        <w:pStyle w:val="BodyText"/>
      </w:pPr>
      <w:r>
        <w:t xml:space="preserve">Identifier: DHARMA_INSSIIv01p0i0035</w:t>
      </w:r>
    </w:p>
    <w:p>
      <w:pPr>
        <w:pStyle w:val="BodyText"/>
      </w:pPr>
      <w:r>
        <w:t xml:space="preserve">Repository: SII original (south-indian-inscriptions)</w:t>
      </w:r>
    </w:p>
    <w:p>
      <w:pPr>
        <w:pStyle w:val="BodyText"/>
      </w:pPr>
      <w:r>
        <w:t xml:space="preserve">File path: SII_B_clean/SII01/DHARMA_INSSIIv01p0i0035.xml</w:t>
      </w:r>
    </w:p>
    <w:p>
      <w:pPr>
        <w:pStyle w:val="BodyText"/>
      </w:pPr>
      <w:r>
        <w:t xml:space="preserve">Language: Sanskrit [Script (unspecified), Telugu]</w:t>
      </w:r>
    </w:p>
    <w:p>
      <w:pPr>
        <w:pStyle w:val="BodyText"/>
      </w:pPr>
      <w:r>
        <w:t xml:space="preserve">Commit: 2026-10-13 10:44 (c108132), last modified 2026-09-29 11:08 (2b36d53)</w:t>
      </w:r>
    </w:p>
    <w:p>
      <w:pPr>
        <w:pStyle w:val="Heading1"/>
      </w:pPr>
      <w:r>
        <w:t xml:space="preserve">Summary</w:t>
      </w:r>
    </w:p>
    <w:p>
      <w:pPr>
        <w:pStyle w:val="FirstParagraph"/>
      </w:pPr>
      <w:r>
        <w:t xml:space="preserve">The subjoined five grants belong to the kings</w:t>
      </w:r>
      <w:r>
        <w:t xml:space="preserve"> </w:t>
      </w:r>
      <w:r>
        <w:rPr>
          <w:b/>
          <w:bCs/>
        </w:rPr>
        <w:t xml:space="preserve">Narendra-mṛigarāja</w:t>
      </w:r>
      <w:r>
        <w:t xml:space="preserve"> </w:t>
      </w:r>
      <w:r>
        <w:t xml:space="preserve">or</w:t>
      </w:r>
      <w:r>
        <w:t xml:space="preserve"> </w:t>
      </w:r>
      <w:r>
        <w:rPr>
          <w:b/>
          <w:bCs/>
        </w:rPr>
        <w:t xml:space="preserve">Vijayāditya</w:t>
      </w:r>
      <w:r>
        <w:t xml:space="preserve"> </w:t>
      </w:r>
      <w:r>
        <w:t xml:space="preserve">II,</w:t>
      </w:r>
      <w:r>
        <w:t xml:space="preserve"> </w:t>
      </w:r>
      <w:r>
        <w:rPr>
          <w:b/>
          <w:bCs/>
        </w:rPr>
        <w:t xml:space="preserve">Amma</w:t>
      </w:r>
      <w:r>
        <w:t xml:space="preserve"> </w:t>
      </w:r>
      <w:r>
        <w:t xml:space="preserve">I. or</w:t>
      </w:r>
      <w:r>
        <w:t xml:space="preserve"> </w:t>
      </w:r>
      <w:r>
        <w:rPr>
          <w:b/>
          <w:bCs/>
        </w:rPr>
        <w:t xml:space="preserve">Vishṇuvardhana</w:t>
      </w:r>
      <w:r>
        <w:t xml:space="preserve"> </w:t>
      </w:r>
      <w:r>
        <w:t xml:space="preserve">VI,</w:t>
      </w:r>
      <w:r>
        <w:t xml:space="preserve"> </w:t>
      </w:r>
      <w:r>
        <w:rPr>
          <w:b/>
          <w:bCs/>
        </w:rPr>
        <w:t xml:space="preserve">Chālukya-Bhīma</w:t>
      </w:r>
      <w:r>
        <w:t xml:space="preserve"> </w:t>
      </w:r>
      <w:r>
        <w:t xml:space="preserve">II. or</w:t>
      </w:r>
      <w:r>
        <w:t xml:space="preserve"> </w:t>
      </w:r>
      <w:r>
        <w:rPr>
          <w:b/>
          <w:bCs/>
        </w:rPr>
        <w:t xml:space="preserve">Vishṇuvardhana</w:t>
      </w:r>
      <w:r>
        <w:t xml:space="preserve"> </w:t>
      </w:r>
      <w:r>
        <w:t xml:space="preserve">VII,</w:t>
      </w:r>
      <w:r>
        <w:t xml:space="preserve"> </w:t>
      </w:r>
      <w:r>
        <w:rPr>
          <w:b/>
          <w:bCs/>
        </w:rPr>
        <w:t xml:space="preserve">Amma</w:t>
      </w:r>
      <w:r>
        <w:t xml:space="preserve"> </w:t>
      </w:r>
      <w:r>
        <w:t xml:space="preserve">II. or</w:t>
      </w:r>
      <w:r>
        <w:t xml:space="preserve"> </w:t>
      </w:r>
      <w:r>
        <w:rPr>
          <w:b/>
          <w:bCs/>
        </w:rPr>
        <w:t xml:space="preserve">Vijayāditya</w:t>
      </w:r>
      <w:r>
        <w:t xml:space="preserve"> </w:t>
      </w:r>
      <w:r>
        <w:t xml:space="preserve">V. and</w:t>
      </w:r>
      <w:r>
        <w:t xml:space="preserve"> </w:t>
      </w:r>
      <w:r>
        <w:rPr>
          <w:b/>
          <w:bCs/>
        </w:rPr>
        <w:t xml:space="preserve">Vīra-Choḍa</w:t>
      </w:r>
      <w:r>
        <w:t xml:space="preserve"> </w:t>
      </w:r>
      <w:r>
        <w:t xml:space="preserve">or</w:t>
      </w:r>
      <w:r>
        <w:t xml:space="preserve"> </w:t>
      </w:r>
      <w:r>
        <w:rPr>
          <w:b/>
          <w:bCs/>
        </w:rPr>
        <w:t xml:space="preserve">Vishṇuvardhana</w:t>
      </w:r>
      <w:r>
        <w:t xml:space="preserve"> </w:t>
      </w:r>
      <w:r>
        <w:t xml:space="preserve">IX. The place, which is occupied by each of these princes in the genealogy of the Eastern Chalukya dynasty, will be seen from the annexed table, for which all hitherto published Eastern Chalukya grants have been consulted, and in which numbers are prefixed to the names of those princes who really reigned, in order to mark their succession.</w:t>
      </w:r>
      <w:r>
        <w:rPr>
          <w:rStyle w:val="FootnoteReference"/>
        </w:rPr>
        <w:footnoteReference w:id="9"/>
      </w:r>
    </w:p>
    <w:p>
      <w:pPr>
        <w:pStyle w:val="BodyText"/>
      </w:pPr>
      <w:r>
        <w:t xml:space="preserve">The relation of the two usurpers (18)</w:t>
      </w:r>
      <w:r>
        <w:t xml:space="preserve"> </w:t>
      </w:r>
      <w:r>
        <w:rPr>
          <w:b/>
          <w:bCs/>
        </w:rPr>
        <w:t xml:space="preserve">Tālapa</w:t>
      </w:r>
      <w:r>
        <w:t xml:space="preserve"> </w:t>
      </w:r>
      <w:r>
        <w:t xml:space="preserve">and (21)</w:t>
      </w:r>
      <w:r>
        <w:t xml:space="preserve"> </w:t>
      </w:r>
      <w:r>
        <w:rPr>
          <w:b/>
          <w:bCs/>
        </w:rPr>
        <w:t xml:space="preserve">Yuddhamalla</w:t>
      </w:r>
      <w:r>
        <w:t xml:space="preserve"> </w:t>
      </w:r>
      <w:r>
        <w:t xml:space="preserve">to the direct line of the family is established by three inscriptions:—</w:t>
      </w:r>
      <w:r>
        <w:rPr>
          <w:i/>
          <w:iCs/>
        </w:rPr>
        <w:t xml:space="preserve">a</w:t>
      </w:r>
      <w:r>
        <w:t xml:space="preserve">. Tāḍapa is called the son of Vikramāditya’s brother (</w:t>
      </w:r>
      <w:r>
        <w:rPr>
          <w:i/>
          <w:iCs/>
        </w:rPr>
        <w:t xml:space="preserve">Ind. Ant</w:t>
      </w:r>
      <w:r>
        <w:t xml:space="preserve">. Vol. XIV. p. 56);</w:t>
      </w:r>
      <w:r>
        <w:t xml:space="preserve"> </w:t>
      </w:r>
      <w:r>
        <w:rPr>
          <w:i/>
          <w:iCs/>
        </w:rPr>
        <w:t xml:space="preserve">b</w:t>
      </w:r>
      <w:r>
        <w:t xml:space="preserve">. Tāla is called the son of Yuddhamalla, who was the paternal uncle of Chālukya-Bhīma I. (</w:t>
      </w:r>
      <w:r>
        <w:rPr>
          <w:i/>
          <w:iCs/>
        </w:rPr>
        <w:t xml:space="preserve">Ind. Ant</w:t>
      </w:r>
      <w:r>
        <w:t xml:space="preserve">. Vol. XIII, p. 249, where</w:t>
      </w:r>
      <w:r>
        <w:t xml:space="preserve"> </w:t>
      </w:r>
      <w:r>
        <w:rPr>
          <w:i/>
          <w:iCs/>
        </w:rPr>
        <w:t xml:space="preserve">pitṛivya</w:t>
      </w:r>
      <w:r>
        <w:t xml:space="preserve"> </w:t>
      </w:r>
      <w:r>
        <w:t xml:space="preserve">has to be read for</w:t>
      </w:r>
      <w:r>
        <w:t xml:space="preserve"> </w:t>
      </w:r>
      <w:r>
        <w:rPr>
          <w:i/>
          <w:iCs/>
        </w:rPr>
        <w:t xml:space="preserve">pitṛivyo</w:t>
      </w:r>
      <w:r>
        <w:t xml:space="preserve">);</w:t>
      </w:r>
      <w:r>
        <w:t xml:space="preserve"> </w:t>
      </w:r>
      <w:r>
        <w:rPr>
          <w:i/>
          <w:iCs/>
        </w:rPr>
        <w:t xml:space="preserve">c</w:t>
      </w:r>
      <w:r>
        <w:t xml:space="preserve">. Bhīma II, the son of Kollabhigaṇḍa Vijayāditya, is at the same time called the son of Yuddhamalla, the son of Tālapa,</w:t>
      </w:r>
      <w:r>
        <w:t xml:space="preserve"> </w:t>
      </w:r>
      <w:r>
        <w:rPr>
          <w:i/>
          <w:iCs/>
        </w:rPr>
        <w:t xml:space="preserve">i.e.</w:t>
      </w:r>
      <w:r>
        <w:t xml:space="preserve">, he belonged to the next generation after (21) Yuddhamalla (</w:t>
      </w:r>
      <w:r>
        <w:rPr>
          <w:i/>
          <w:iCs/>
        </w:rPr>
        <w:t xml:space="preserve">Ind. Ant</w:t>
      </w:r>
      <w:r>
        <w:t xml:space="preserve">. Vol. XII, p. 92).</w:t>
      </w:r>
    </w:p>
    <w:p>
      <w:pPr>
        <w:pStyle w:val="BodyText"/>
      </w:pPr>
      <w:r>
        <w:t xml:space="preserve">Three of the last kings, who are shown in the annexed table,</w:t>
      </w:r>
      <w:r>
        <w:t xml:space="preserve"> </w:t>
      </w:r>
      <w:r>
        <w:rPr>
          <w:i/>
          <w:iCs/>
        </w:rPr>
        <w:t xml:space="preserve">viz.</w:t>
      </w:r>
      <w:r>
        <w:t xml:space="preserve">, (28)</w:t>
      </w:r>
      <w:r>
        <w:t xml:space="preserve"> </w:t>
      </w:r>
      <w:r>
        <w:rPr>
          <w:b/>
          <w:bCs/>
        </w:rPr>
        <w:t xml:space="preserve">Vijayāditya</w:t>
      </w:r>
      <w:r>
        <w:t xml:space="preserve"> </w:t>
      </w:r>
      <w:r>
        <w:t xml:space="preserve">VI, (29)</w:t>
      </w:r>
      <w:r>
        <w:t xml:space="preserve"> </w:t>
      </w:r>
      <w:r>
        <w:rPr>
          <w:b/>
          <w:bCs/>
        </w:rPr>
        <w:t xml:space="preserve">Rājarāja</w:t>
      </w:r>
      <w:r>
        <w:t xml:space="preserve"> </w:t>
      </w:r>
      <w:r>
        <w:t xml:space="preserve">II. and (30)</w:t>
      </w:r>
      <w:r>
        <w:t xml:space="preserve"> </w:t>
      </w:r>
      <w:r>
        <w:rPr>
          <w:b/>
          <w:bCs/>
        </w:rPr>
        <w:t xml:space="preserve">Vīra-Choḍa</w:t>
      </w:r>
      <w:r>
        <w:t xml:space="preserve">, are only known from the subjoined inscription No.</w:t>
      </w:r>
      <w:r>
        <w:t xml:space="preserve"> </w:t>
      </w:r>
      <w:hyperlink r:id="rId10">
        <w:r>
          <w:rPr>
            <w:rStyle w:val="Hyperlink"/>
          </w:rPr>
          <w:t xml:space="preserve">39</w:t>
        </w:r>
      </w:hyperlink>
      <w:r>
        <w:t xml:space="preserve">.</w:t>
      </w:r>
    </w:p>
    <w:p>
      <w:pPr>
        <w:pStyle w:val="BodyText"/>
      </w:pPr>
      <w:r>
        <w:t xml:space="preserve">This grant belongs to the Sir W. Elliot Collection of the British Museum, and was made over to me for publication by Dr. Burgess. It consists of five copper-plates with raised rims. Each plate measures 9 by 3 inches. The first and fifth plates are inscribed only on their inner sides, while the three middle ones bear writing on both sides. The preservation of the plates is tolerably good. They are strung on an elliptic ring, which is (1/2)" thick and 4(7/8)" by 3(1/2)" in diameter. The well-preserved circular seal, which is attached to the ring, measures 2(5/8)" in diameter. It bears the sun and the moon at the top, the legend</w:t>
      </w:r>
      <w:r>
        <w:t xml:space="preserve"> </w:t>
      </w:r>
      <w:r>
        <w:rPr>
          <w:i/>
          <w:iCs/>
        </w:rPr>
        <w:t xml:space="preserve">śrītribhuvanāṁkuśa</w:t>
      </w:r>
      <w:r>
        <w:t xml:space="preserve"> </w:t>
      </w:r>
      <w:r>
        <w:t xml:space="preserve">across the centre, and an expanded lotus-flower (</w:t>
      </w:r>
      <w:r>
        <w:rPr>
          <w:i/>
          <w:iCs/>
        </w:rPr>
        <w:t xml:space="preserve">side-view</w:t>
      </w:r>
      <w:r>
        <w:t xml:space="preserve">) at the bottom—all in relief on a counter-sunk surface.</w:t>
      </w:r>
    </w:p>
    <w:p>
      <w:pPr>
        <w:pStyle w:val="BodyText"/>
      </w:pPr>
      <w:r>
        <w:t xml:space="preserve">The document is a grant of the</w:t>
      </w:r>
      <w:r>
        <w:t xml:space="preserve"> </w:t>
      </w:r>
      <w:r>
        <w:rPr>
          <w:i/>
          <w:iCs/>
        </w:rPr>
        <w:t xml:space="preserve">parama-māheśvara</w:t>
      </w:r>
      <w:r>
        <w:t xml:space="preserve"> </w:t>
      </w:r>
      <w:r>
        <w:rPr>
          <w:b/>
          <w:bCs/>
        </w:rPr>
        <w:t xml:space="preserve">Narendra-mṛigarāja</w:t>
      </w:r>
      <w:r>
        <w:t xml:space="preserve">,</w:t>
      </w:r>
      <w:r>
        <w:t xml:space="preserve"> </w:t>
      </w:r>
      <w:r>
        <w:rPr>
          <w:i/>
          <w:iCs/>
        </w:rPr>
        <w:t xml:space="preserve">alias</w:t>
      </w:r>
      <w:r>
        <w:t xml:space="preserve"> </w:t>
      </w:r>
      <w:r>
        <w:rPr>
          <w:b/>
          <w:bCs/>
        </w:rPr>
        <w:t xml:space="preserve">Vijayāditya</w:t>
      </w:r>
      <w:r>
        <w:t xml:space="preserve"> </w:t>
      </w:r>
      <w:r>
        <w:t xml:space="preserve">II., the son of</w:t>
      </w:r>
      <w:r>
        <w:t xml:space="preserve"> </w:t>
      </w:r>
      <w:r>
        <w:rPr>
          <w:b/>
          <w:bCs/>
        </w:rPr>
        <w:t xml:space="preserve">Vishṇuvardhana</w:t>
      </w:r>
      <w:r>
        <w:t xml:space="preserve"> </w:t>
      </w:r>
      <w:r>
        <w:t xml:space="preserve">IV. and grandson of</w:t>
      </w:r>
      <w:r>
        <w:t xml:space="preserve"> </w:t>
      </w:r>
      <w:r>
        <w:rPr>
          <w:b/>
          <w:bCs/>
        </w:rPr>
        <w:t xml:space="preserve">Vijayāditya</w:t>
      </w:r>
      <w:r>
        <w:t xml:space="preserve"> </w:t>
      </w:r>
      <w:r>
        <w:t xml:space="preserve">I. The name of the district (</w:t>
      </w:r>
      <w:r>
        <w:rPr>
          <w:i/>
          <w:iCs/>
        </w:rPr>
        <w:t xml:space="preserve">vishaya</w:t>
      </w:r>
      <w:r>
        <w:t xml:space="preserve">), to the inhabitants of which the king addresses his order, is lost. On the occasion of a lunar eclipse (</w:t>
      </w:r>
      <w:r>
        <w:rPr>
          <w:i/>
          <w:iCs/>
        </w:rPr>
        <w:t xml:space="preserve">chandra-grahaṇa-nimitte</w:t>
      </w:r>
      <w:r>
        <w:rPr>
          <w:rStyle w:val="FootnoteReference"/>
        </w:rPr>
        <w:footnoteReference w:id="11"/>
      </w:r>
      <w:r>
        <w:t xml:space="preserve">) the king gave the village of</w:t>
      </w:r>
      <w:r>
        <w:t xml:space="preserve"> </w:t>
      </w:r>
      <w:r>
        <w:rPr>
          <w:b/>
          <w:bCs/>
        </w:rPr>
        <w:t xml:space="preserve">Koṟṟapaṟṟu</w:t>
      </w:r>
      <w:r>
        <w:t xml:space="preserve"> </w:t>
      </w:r>
      <w:r>
        <w:t xml:space="preserve">to twenty-four brāhmaṇas. Of these, six adhered to the</w:t>
      </w:r>
      <w:r>
        <w:t xml:space="preserve"> </w:t>
      </w:r>
      <w:r>
        <w:rPr>
          <w:i/>
          <w:iCs/>
        </w:rPr>
        <w:t xml:space="preserve">Hiraṇyakeśi-sūtra</w:t>
      </w:r>
      <w:r>
        <w:t xml:space="preserve"> </w:t>
      </w:r>
      <w:r>
        <w:t xml:space="preserve">and eighteen to the</w:t>
      </w:r>
      <w:r>
        <w:t xml:space="preserve"> </w:t>
      </w:r>
      <w:r>
        <w:rPr>
          <w:i/>
          <w:iCs/>
        </w:rPr>
        <w:t xml:space="preserve">Āpastamba-sūtra</w:t>
      </w:r>
      <w:r>
        <w:t xml:space="preserve">. They belonged to the following</w:t>
      </w:r>
      <w:r>
        <w:t xml:space="preserve"> </w:t>
      </w:r>
      <w:r>
        <w:rPr>
          <w:i/>
          <w:iCs/>
        </w:rPr>
        <w:t xml:space="preserve">gotṛas:</w:t>
      </w:r>
      <w:r>
        <w:t xml:space="preserve">—</w:t>
      </w:r>
      <w:r>
        <w:rPr>
          <w:b/>
          <w:bCs/>
        </w:rPr>
        <w:t xml:space="preserve">Agniveśya, Kauṇḍinya, Kauśika, Gautama, Parāśara, Bhāradvāja, Vatsa, Śāṇḍilya, Saṁkṛiti</w:t>
      </w:r>
      <w:r>
        <w:t xml:space="preserve"> </w:t>
      </w:r>
      <w:r>
        <w:t xml:space="preserve">and</w:t>
      </w:r>
      <w:r>
        <w:t xml:space="preserve"> </w:t>
      </w:r>
      <w:r>
        <w:rPr>
          <w:b/>
          <w:bCs/>
        </w:rPr>
        <w:t xml:space="preserve">Harita</w:t>
      </w:r>
      <w:r>
        <w:t xml:space="preserve">. According to the colophon of the grant, “the excellent prince</w:t>
      </w:r>
      <w:r>
        <w:t xml:space="preserve"> </w:t>
      </w:r>
      <w:r>
        <w:rPr>
          <w:b/>
          <w:bCs/>
        </w:rPr>
        <w:t xml:space="preserve">Nṛipa-Rudra</w:t>
      </w:r>
      <w:r>
        <w:t xml:space="preserve">, who was the brother of</w:t>
      </w:r>
      <w:r>
        <w:t xml:space="preserve"> </w:t>
      </w:r>
      <w:r>
        <w:rPr>
          <w:b/>
          <w:bCs/>
        </w:rPr>
        <w:t xml:space="preserve">Narendra-mṛigarāja</w:t>
      </w:r>
      <w:r>
        <w:t xml:space="preserve"> </w:t>
      </w:r>
      <w:r>
        <w:t xml:space="preserve">and a descendant of the</w:t>
      </w:r>
      <w:r>
        <w:t xml:space="preserve"> </w:t>
      </w:r>
      <w:r>
        <w:rPr>
          <w:b/>
          <w:bCs/>
        </w:rPr>
        <w:t xml:space="preserve">Haihaya-vaṁśa</w:t>
      </w:r>
      <w:r>
        <w:t xml:space="preserve"> </w:t>
      </w:r>
      <w:r>
        <w:t xml:space="preserve">(!), (</w:t>
      </w:r>
      <w:r>
        <w:rPr>
          <w:i/>
          <w:iCs/>
        </w:rPr>
        <w:t xml:space="preserve">was</w:t>
      </w:r>
      <w:r>
        <w:t xml:space="preserve">) the executor of this charity.”</w:t>
      </w:r>
      <w:r>
        <w:rPr>
          <w:rStyle w:val="FootnoteReference"/>
        </w:rPr>
        <w:footnoteReference w:id="13"/>
      </w:r>
    </w:p>
    <w:p>
      <w:pPr>
        <w:pStyle w:val="BodyText"/>
      </w:pPr>
      <w:r>
        <w:t xml:space="preserve">[[genealogical table:]] PEDIGREE OF THE EASTERN CHALUKYA DYNASTY. [C1]Kīrtivarman (</w:t>
      </w:r>
      <w:r>
        <w:rPr>
          <w:i/>
          <w:iCs/>
        </w:rPr>
        <w:t xml:space="preserve">until Śaka</w:t>
      </w:r>
      <w:r>
        <w:t xml:space="preserve"> </w:t>
      </w:r>
      <w:r>
        <w:t xml:space="preserve">489). [C1]Satyāśraya Vallabha (</w:t>
      </w:r>
      <w:r>
        <w:rPr>
          <w:i/>
          <w:iCs/>
        </w:rPr>
        <w:t xml:space="preserve">from Śaka</w:t>
      </w:r>
      <w:r>
        <w:t xml:space="preserve"> </w:t>
      </w:r>
      <w:r>
        <w:t xml:space="preserve">532</w:t>
      </w:r>
      <w:r>
        <w:t xml:space="preserve"> </w:t>
      </w:r>
      <w:r>
        <w:rPr>
          <w:i/>
          <w:iCs/>
        </w:rPr>
        <w:t xml:space="preserve">until at least</w:t>
      </w:r>
      <w:r>
        <w:t xml:space="preserve"> </w:t>
      </w:r>
      <w:r>
        <w:t xml:space="preserve">556).</w:t>
      </w:r>
      <w:r>
        <w:rPr>
          <w:rStyle w:val="FootnoteReference"/>
        </w:rPr>
        <w:footnoteReference w:id="14"/>
      </w:r>
      <w:r>
        <w:t xml:space="preserve"> </w:t>
      </w:r>
      <w:r>
        <w:t xml:space="preserve">[C2]1. Kubja Vishṇuvardhana I. Vishamasiddhi</w:t>
      </w:r>
      <w:r>
        <w:rPr>
          <w:rStyle w:val="FootnoteReference"/>
        </w:rPr>
        <w:footnoteReference w:id="15"/>
      </w:r>
      <w:r>
        <w:t xml:space="preserve"> </w:t>
      </w:r>
      <w:r>
        <w:t xml:space="preserve">(18</w:t>
      </w:r>
      <w:r>
        <w:t xml:space="preserve"> </w:t>
      </w:r>
      <w:r>
        <w:rPr>
          <w:i/>
          <w:iCs/>
        </w:rPr>
        <w:t xml:space="preserve">years; cir. Śaka</w:t>
      </w:r>
      <w:r>
        <w:t xml:space="preserve"> </w:t>
      </w:r>
      <w:r>
        <w:t xml:space="preserve">526-27</w:t>
      </w:r>
      <w:r>
        <w:t xml:space="preserve"> </w:t>
      </w:r>
      <w:r>
        <w:rPr>
          <w:i/>
          <w:iCs/>
        </w:rPr>
        <w:t xml:space="preserve">to cir</w:t>
      </w:r>
      <w:r>
        <w:t xml:space="preserve">. 544-45). [C1]2. Jayasiṁha I. Vallabha (33</w:t>
      </w:r>
      <w:r>
        <w:t xml:space="preserve"> </w:t>
      </w:r>
      <w:r>
        <w:rPr>
          <w:i/>
          <w:iCs/>
        </w:rPr>
        <w:t xml:space="preserve">years; cir. Śaka</w:t>
      </w:r>
      <w:r>
        <w:t xml:space="preserve"> </w:t>
      </w:r>
      <w:r>
        <w:t xml:space="preserve">544-45</w:t>
      </w:r>
      <w:r>
        <w:t xml:space="preserve"> </w:t>
      </w:r>
      <w:r>
        <w:rPr>
          <w:i/>
          <w:iCs/>
        </w:rPr>
        <w:t xml:space="preserve">to cir</w:t>
      </w:r>
      <w:r>
        <w:t xml:space="preserve">. 577-78).</w:t>
      </w:r>
      <w:r>
        <w:rPr>
          <w:rStyle w:val="FootnoteReference"/>
        </w:rPr>
        <w:footnoteReference w:id="16"/>
      </w:r>
      <w:r>
        <w:t xml:space="preserve"> </w:t>
      </w:r>
      <w:r>
        <w:t xml:space="preserve">[C2]3. Indra Bhaṭṭāraka.</w:t>
      </w:r>
      <w:r>
        <w:rPr>
          <w:rStyle w:val="FootnoteReference"/>
        </w:rPr>
        <w:footnoteReference w:id="17"/>
      </w:r>
      <w:r>
        <w:t xml:space="preserve"> </w:t>
      </w:r>
      <w:r>
        <w:t xml:space="preserve">[C1]4. Vishṇuvardhana II. (9</w:t>
      </w:r>
      <w:r>
        <w:t xml:space="preserve"> </w:t>
      </w:r>
      <w:r>
        <w:rPr>
          <w:i/>
          <w:iCs/>
        </w:rPr>
        <w:t xml:space="preserve">years; cir. Śaka</w:t>
      </w:r>
      <w:r>
        <w:t xml:space="preserve"> </w:t>
      </w:r>
      <w:r>
        <w:t xml:space="preserve">577-78</w:t>
      </w:r>
      <w:r>
        <w:t xml:space="preserve"> </w:t>
      </w:r>
      <w:r>
        <w:rPr>
          <w:i/>
          <w:iCs/>
        </w:rPr>
        <w:t xml:space="preserve">to cir</w:t>
      </w:r>
      <w:r>
        <w:t xml:space="preserve">. 586-87.) [C1]5. Maṅgi-yuvarāja (25</w:t>
      </w:r>
      <w:r>
        <w:t xml:space="preserve"> </w:t>
      </w:r>
      <w:r>
        <w:rPr>
          <w:i/>
          <w:iCs/>
        </w:rPr>
        <w:t xml:space="preserve">years; cir. Śaka</w:t>
      </w:r>
      <w:r>
        <w:t xml:space="preserve"> </w:t>
      </w:r>
      <w:r>
        <w:t xml:space="preserve">586-87</w:t>
      </w:r>
      <w:r>
        <w:t xml:space="preserve"> </w:t>
      </w:r>
      <w:r>
        <w:rPr>
          <w:i/>
          <w:iCs/>
        </w:rPr>
        <w:t xml:space="preserve">to cir</w:t>
      </w:r>
      <w:r>
        <w:t xml:space="preserve">. 611-12). [C1]6. Jayasiṁha II. (13</w:t>
      </w:r>
      <w:r>
        <w:t xml:space="preserve"> </w:t>
      </w:r>
      <w:r>
        <w:rPr>
          <w:i/>
          <w:iCs/>
        </w:rPr>
        <w:t xml:space="preserve">years; cir. Śaka</w:t>
      </w:r>
      <w:r>
        <w:t xml:space="preserve"> </w:t>
      </w:r>
      <w:r>
        <w:t xml:space="preserve">611-12</w:t>
      </w:r>
      <w:r>
        <w:t xml:space="preserve"> </w:t>
      </w:r>
      <w:r>
        <w:rPr>
          <w:i/>
          <w:iCs/>
        </w:rPr>
        <w:t xml:space="preserve">to cir</w:t>
      </w:r>
      <w:r>
        <w:t xml:space="preserve">. 624-25.) [C2]7. Kokkili (6</w:t>
      </w:r>
      <w:r>
        <w:t xml:space="preserve"> </w:t>
      </w:r>
      <w:r>
        <w:rPr>
          <w:i/>
          <w:iCs/>
        </w:rPr>
        <w:t xml:space="preserve">months; cir. Śaka</w:t>
      </w:r>
      <w:r>
        <w:t xml:space="preserve"> </w:t>
      </w:r>
      <w:r>
        <w:t xml:space="preserve">625). [C3]8. Vishṇuvardhana III. (37</w:t>
      </w:r>
      <w:r>
        <w:t xml:space="preserve"> </w:t>
      </w:r>
      <w:r>
        <w:rPr>
          <w:i/>
          <w:iCs/>
        </w:rPr>
        <w:t xml:space="preserve">years; cir. Śaka</w:t>
      </w:r>
      <w:r>
        <w:t xml:space="preserve"> </w:t>
      </w:r>
      <w:r>
        <w:t xml:space="preserve">625</w:t>
      </w:r>
      <w:r>
        <w:t xml:space="preserve"> </w:t>
      </w:r>
      <w:r>
        <w:rPr>
          <w:i/>
          <w:iCs/>
        </w:rPr>
        <w:t xml:space="preserve">to cir</w:t>
      </w:r>
      <w:r>
        <w:t xml:space="preserve">. 662.) [C1]9. Vijayāditya I. Bhaṭṭāraka (18</w:t>
      </w:r>
      <w:r>
        <w:t xml:space="preserve"> </w:t>
      </w:r>
      <w:r>
        <w:rPr>
          <w:i/>
          <w:iCs/>
        </w:rPr>
        <w:t xml:space="preserve">years; cir. Śaka</w:t>
      </w:r>
      <w:r>
        <w:t xml:space="preserve"> </w:t>
      </w:r>
      <w:r>
        <w:t xml:space="preserve">662</w:t>
      </w:r>
      <w:r>
        <w:t xml:space="preserve"> </w:t>
      </w:r>
      <w:r>
        <w:rPr>
          <w:i/>
          <w:iCs/>
        </w:rPr>
        <w:t xml:space="preserve">to cir</w:t>
      </w:r>
      <w:r>
        <w:t xml:space="preserve">. 680). [C1]10. Vishṇuvardhana IV. (36</w:t>
      </w:r>
      <w:r>
        <w:t xml:space="preserve"> </w:t>
      </w:r>
      <w:r>
        <w:rPr>
          <w:i/>
          <w:iCs/>
        </w:rPr>
        <w:t xml:space="preserve">years; cir. Śaka</w:t>
      </w:r>
      <w:r>
        <w:t xml:space="preserve"> </w:t>
      </w:r>
      <w:r>
        <w:t xml:space="preserve">680</w:t>
      </w:r>
      <w:r>
        <w:t xml:space="preserve"> </w:t>
      </w:r>
      <w:r>
        <w:rPr>
          <w:i/>
          <w:iCs/>
        </w:rPr>
        <w:t xml:space="preserve">to cir</w:t>
      </w:r>
      <w:r>
        <w:t xml:space="preserve">. 716.) [C1]11. Vijayāditya II. Narendra-mṛigarāja (48</w:t>
      </w:r>
      <w:r>
        <w:t xml:space="preserve"> </w:t>
      </w:r>
      <w:r>
        <w:rPr>
          <w:i/>
          <w:iCs/>
        </w:rPr>
        <w:t xml:space="preserve">years; cir. Śaka</w:t>
      </w:r>
      <w:r>
        <w:t xml:space="preserve"> </w:t>
      </w:r>
      <w:r>
        <w:t xml:space="preserve">716</w:t>
      </w:r>
      <w:r>
        <w:t xml:space="preserve"> </w:t>
      </w:r>
      <w:r>
        <w:rPr>
          <w:i/>
          <w:iCs/>
        </w:rPr>
        <w:t xml:space="preserve">to cir</w:t>
      </w:r>
      <w:r>
        <w:t xml:space="preserve">. 764).</w:t>
      </w:r>
      <w:r>
        <w:rPr>
          <w:rStyle w:val="FootnoteReference"/>
        </w:rPr>
        <w:footnoteReference w:id="18"/>
      </w:r>
      <w:r>
        <w:t xml:space="preserve"> </w:t>
      </w:r>
      <w:r>
        <w:t xml:space="preserve">[C1]12. Kali Vishṇuvardhana V. (1(1/2)</w:t>
      </w:r>
      <w:r>
        <w:t xml:space="preserve"> </w:t>
      </w:r>
      <w:r>
        <w:rPr>
          <w:i/>
          <w:iCs/>
        </w:rPr>
        <w:t xml:space="preserve">years; cir. Śaka</w:t>
      </w:r>
      <w:r>
        <w:t xml:space="preserve"> </w:t>
      </w:r>
      <w:r>
        <w:t xml:space="preserve">764</w:t>
      </w:r>
      <w:r>
        <w:t xml:space="preserve"> </w:t>
      </w:r>
      <w:r>
        <w:rPr>
          <w:i/>
          <w:iCs/>
        </w:rPr>
        <w:t xml:space="preserve">to cir</w:t>
      </w:r>
      <w:r>
        <w:t xml:space="preserve">. 765-66.) [C1]13. Guṇaga, Guṇagāṅka or Guṇakenalla Vijayāditya III. (44</w:t>
      </w:r>
      <w:r>
        <w:t xml:space="preserve"> </w:t>
      </w:r>
      <w:r>
        <w:rPr>
          <w:i/>
          <w:iCs/>
        </w:rPr>
        <w:t xml:space="preserve">years; cir. Śaka</w:t>
      </w:r>
      <w:r>
        <w:t xml:space="preserve"> </w:t>
      </w:r>
      <w:r>
        <w:t xml:space="preserve">765-66</w:t>
      </w:r>
      <w:r>
        <w:t xml:space="preserve"> </w:t>
      </w:r>
      <w:r>
        <w:rPr>
          <w:i/>
          <w:iCs/>
        </w:rPr>
        <w:t xml:space="preserve">to cir</w:t>
      </w:r>
      <w:r>
        <w:t xml:space="preserve">. 809-10.) [C2]Yuvarāja Vikramāditya. [C3]Yuddhamalla. [C1]14. Chālukya-Bhīma I. Drohārjuna (30</w:t>
      </w:r>
      <w:r>
        <w:t xml:space="preserve"> </w:t>
      </w:r>
      <w:r>
        <w:rPr>
          <w:i/>
          <w:iCs/>
        </w:rPr>
        <w:t xml:space="preserve">years; cir. Śaka</w:t>
      </w:r>
      <w:r>
        <w:t xml:space="preserve"> </w:t>
      </w:r>
      <w:r>
        <w:t xml:space="preserve">809-10</w:t>
      </w:r>
      <w:r>
        <w:t xml:space="preserve"> </w:t>
      </w:r>
      <w:r>
        <w:rPr>
          <w:i/>
          <w:iCs/>
        </w:rPr>
        <w:t xml:space="preserve">to cir</w:t>
      </w:r>
      <w:r>
        <w:t xml:space="preserve">. 839-40.) [C1]15. Kollabhigaṇḍa, Kollabigaṇḍa or Kaliyarttyaṅka Vijayāditya IV. (6</w:t>
      </w:r>
      <w:r>
        <w:t xml:space="preserve"> </w:t>
      </w:r>
      <w:r>
        <w:rPr>
          <w:i/>
          <w:iCs/>
        </w:rPr>
        <w:t xml:space="preserve">months; cir. Śaka</w:t>
      </w:r>
      <w:r>
        <w:t xml:space="preserve"> </w:t>
      </w:r>
      <w:r>
        <w:t xml:space="preserve">840.) [C1]16. Amma I. Vishṇuvardhana VI. Rājamahendra (7</w:t>
      </w:r>
      <w:r>
        <w:t xml:space="preserve"> </w:t>
      </w:r>
      <w:r>
        <w:rPr>
          <w:i/>
          <w:iCs/>
        </w:rPr>
        <w:t xml:space="preserve">years; cir. Śaka</w:t>
      </w:r>
      <w:r>
        <w:t xml:space="preserve"> </w:t>
      </w:r>
      <w:r>
        <w:t xml:space="preserve">840</w:t>
      </w:r>
      <w:r>
        <w:t xml:space="preserve"> </w:t>
      </w:r>
      <w:r>
        <w:rPr>
          <w:i/>
          <w:iCs/>
        </w:rPr>
        <w:t xml:space="preserve">to cir</w:t>
      </w:r>
      <w:r>
        <w:t xml:space="preserve">. 847). [C1]17. Vijayāditya.</w:t>
      </w:r>
      <w:r>
        <w:rPr>
          <w:rStyle w:val="FootnoteReference"/>
        </w:rPr>
        <w:footnoteReference w:id="20"/>
      </w:r>
      <w:r>
        <w:t xml:space="preserve"> </w:t>
      </w:r>
      <w:r>
        <w:t xml:space="preserve">[C1]18. Tāha, Tāla, Tāḍapa, Tālapa or Tāḻapa (1</w:t>
      </w:r>
      <w:r>
        <w:t xml:space="preserve"> </w:t>
      </w:r>
      <w:r>
        <w:rPr>
          <w:i/>
          <w:iCs/>
        </w:rPr>
        <w:t xml:space="preserve">month; cir. Śaka</w:t>
      </w:r>
      <w:r>
        <w:t xml:space="preserve"> </w:t>
      </w:r>
      <w:r>
        <w:t xml:space="preserve">847). [C1]19. Vikramāditya (11</w:t>
      </w:r>
      <w:r>
        <w:t xml:space="preserve"> </w:t>
      </w:r>
      <w:r>
        <w:rPr>
          <w:i/>
          <w:iCs/>
        </w:rPr>
        <w:t xml:space="preserve">months or 1 year; cir. Śaka</w:t>
      </w:r>
      <w:r>
        <w:t xml:space="preserve"> </w:t>
      </w:r>
      <w:r>
        <w:t xml:space="preserve">847</w:t>
      </w:r>
      <w:r>
        <w:t xml:space="preserve"> </w:t>
      </w:r>
      <w:r>
        <w:rPr>
          <w:i/>
          <w:iCs/>
        </w:rPr>
        <w:t xml:space="preserve">to cir</w:t>
      </w:r>
      <w:r>
        <w:t xml:space="preserve">. 848). [C2]20. Bhīma.</w:t>
      </w:r>
      <w:r>
        <w:rPr>
          <w:rStyle w:val="FootnoteReference"/>
        </w:rPr>
        <w:footnoteReference w:id="21"/>
      </w:r>
      <w:r>
        <w:t xml:space="preserve"> </w:t>
      </w:r>
      <w:r>
        <w:t xml:space="preserve">[C1]21. Yuddhamalla (7</w:t>
      </w:r>
      <w:r>
        <w:t xml:space="preserve"> </w:t>
      </w:r>
      <w:r>
        <w:rPr>
          <w:i/>
          <w:iCs/>
        </w:rPr>
        <w:t xml:space="preserve">years; cir. Śaka</w:t>
      </w:r>
      <w:r>
        <w:t xml:space="preserve"> </w:t>
      </w:r>
      <w:r>
        <w:t xml:space="preserve">848</w:t>
      </w:r>
      <w:r>
        <w:t xml:space="preserve"> </w:t>
      </w:r>
      <w:r>
        <w:rPr>
          <w:i/>
          <w:iCs/>
        </w:rPr>
        <w:t xml:space="preserve">to cir</w:t>
      </w:r>
      <w:r>
        <w:t xml:space="preserve">. 855).</w:t>
      </w:r>
      <w:r>
        <w:rPr>
          <w:rStyle w:val="FootnoteReference"/>
        </w:rPr>
        <w:footnoteReference w:id="22"/>
      </w:r>
      <w:r>
        <w:t xml:space="preserve"> </w:t>
      </w:r>
      <w:r>
        <w:t xml:space="preserve">[C1]22. Chālukya-Bhīma II. Vishṇuvardhana VII. Gaṇḍamahendra, son of queen Meḻāmbā (12</w:t>
      </w:r>
      <w:r>
        <w:t xml:space="preserve"> </w:t>
      </w:r>
      <w:r>
        <w:rPr>
          <w:i/>
          <w:iCs/>
        </w:rPr>
        <w:t xml:space="preserve">years; cir. Śaka</w:t>
      </w:r>
      <w:r>
        <w:t xml:space="preserve"> </w:t>
      </w:r>
      <w:r>
        <w:t xml:space="preserve">855</w:t>
      </w:r>
      <w:r>
        <w:t xml:space="preserve"> </w:t>
      </w:r>
      <w:r>
        <w:rPr>
          <w:i/>
          <w:iCs/>
        </w:rPr>
        <w:t xml:space="preserve">to</w:t>
      </w:r>
      <w:r>
        <w:t xml:space="preserve"> </w:t>
      </w:r>
      <w:r>
        <w:t xml:space="preserve">867). [C1]23. Amma II. Vijayāditya V. son of queen Lokamahādevī, ascended the throne in</w:t>
      </w:r>
      <w:r>
        <w:t xml:space="preserve"> </w:t>
      </w:r>
      <w:r>
        <w:rPr>
          <w:i/>
          <w:iCs/>
        </w:rPr>
        <w:t xml:space="preserve">Śaka</w:t>
      </w:r>
      <w:r>
        <w:t xml:space="preserve"> </w:t>
      </w:r>
      <w:r>
        <w:t xml:space="preserve">867</w:t>
      </w:r>
      <w:r>
        <w:rPr>
          <w:rStyle w:val="FootnoteReference"/>
        </w:rPr>
        <w:footnoteReference w:id="23"/>
      </w:r>
      <w:r>
        <w:t xml:space="preserve"> </w:t>
      </w:r>
      <w:r>
        <w:t xml:space="preserve">and reigned 25 years (</w:t>
      </w:r>
      <w:r>
        <w:rPr>
          <w:i/>
          <w:iCs/>
        </w:rPr>
        <w:t xml:space="preserve">to cir. Śaka</w:t>
      </w:r>
      <w:r>
        <w:t xml:space="preserve"> </w:t>
      </w:r>
      <w:r>
        <w:t xml:space="preserve">892). [C1]24. Dānārṇava or Dāna-nṛipa (3</w:t>
      </w:r>
      <w:r>
        <w:t xml:space="preserve"> </w:t>
      </w:r>
      <w:r>
        <w:rPr>
          <w:i/>
          <w:iCs/>
        </w:rPr>
        <w:t xml:space="preserve">years; cir. Śaka</w:t>
      </w:r>
      <w:r>
        <w:t xml:space="preserve"> </w:t>
      </w:r>
      <w:r>
        <w:t xml:space="preserve">892</w:t>
      </w:r>
      <w:r>
        <w:t xml:space="preserve"> </w:t>
      </w:r>
      <w:r>
        <w:rPr>
          <w:i/>
          <w:iCs/>
        </w:rPr>
        <w:t xml:space="preserve">to cir</w:t>
      </w:r>
      <w:r>
        <w:t xml:space="preserve">. 895). [C1]25. Aftor an interregnum of 27 years,</w:t>
      </w:r>
      <w:r>
        <w:rPr>
          <w:rStyle w:val="FootnoteReference"/>
        </w:rPr>
        <w:footnoteReference w:id="24"/>
      </w:r>
      <w:r>
        <w:t xml:space="preserve"> </w:t>
      </w:r>
      <w:r>
        <w:t xml:space="preserve">Śaktivarman or Chālukyachandra reigned 12 years;</w:t>
      </w:r>
      <w:r>
        <w:t xml:space="preserve"> </w:t>
      </w:r>
      <w:r>
        <w:rPr>
          <w:i/>
          <w:iCs/>
        </w:rPr>
        <w:t xml:space="preserve">circa Śaka</w:t>
      </w:r>
      <w:r>
        <w:t xml:space="preserve"> </w:t>
      </w:r>
      <w:r>
        <w:t xml:space="preserve">925</w:t>
      </w:r>
      <w:r>
        <w:t xml:space="preserve"> </w:t>
      </w:r>
      <w:r>
        <w:rPr>
          <w:i/>
          <w:iCs/>
        </w:rPr>
        <w:t xml:space="preserve">to circa</w:t>
      </w:r>
      <w:r>
        <w:t xml:space="preserve"> </w:t>
      </w:r>
      <w:r>
        <w:t xml:space="preserve">937. [C2]26. Vimalāditya married Kūndavā, daughter of</w:t>
      </w:r>
      <w:r>
        <w:t xml:space="preserve"> </w:t>
      </w:r>
      <w:r>
        <w:rPr>
          <w:b/>
          <w:bCs/>
        </w:rPr>
        <w:t xml:space="preserve">Rājarāja</w:t>
      </w:r>
      <w:r>
        <w:t xml:space="preserve"> </w:t>
      </w:r>
      <w:r>
        <w:t xml:space="preserve">of the</w:t>
      </w:r>
      <w:r>
        <w:t xml:space="preserve"> </w:t>
      </w:r>
      <w:r>
        <w:rPr>
          <w:b/>
          <w:bCs/>
        </w:rPr>
        <w:t xml:space="preserve">Sūrya-vaṁśa</w:t>
      </w:r>
      <w:r>
        <w:t xml:space="preserve"> </w:t>
      </w:r>
      <w:r>
        <w:t xml:space="preserve">and younger sister of</w:t>
      </w:r>
      <w:r>
        <w:t xml:space="preserve"> </w:t>
      </w:r>
      <w:r>
        <w:rPr>
          <w:b/>
          <w:bCs/>
        </w:rPr>
        <w:t xml:space="preserve">Rājendra-Choḍa</w:t>
      </w:r>
      <w:r>
        <w:t xml:space="preserve"> </w:t>
      </w:r>
      <w:r>
        <w:t xml:space="preserve">(7</w:t>
      </w:r>
      <w:r>
        <w:t xml:space="preserve"> </w:t>
      </w:r>
      <w:r>
        <w:rPr>
          <w:i/>
          <w:iCs/>
        </w:rPr>
        <w:t xml:space="preserve">years; cir. Śaka</w:t>
      </w:r>
      <w:r>
        <w:t xml:space="preserve"> </w:t>
      </w:r>
      <w:r>
        <w:t xml:space="preserve">937</w:t>
      </w:r>
      <w:r>
        <w:t xml:space="preserve"> </w:t>
      </w:r>
      <w:r>
        <w:rPr>
          <w:i/>
          <w:iCs/>
        </w:rPr>
        <w:t xml:space="preserve">to</w:t>
      </w:r>
      <w:r>
        <w:t xml:space="preserve"> </w:t>
      </w:r>
      <w:r>
        <w:t xml:space="preserve">944). [C1]27. Rājarāja I. Vishṇuvardhana VIII. married Ammaṅga-devī, daughter of</w:t>
      </w:r>
      <w:r>
        <w:t xml:space="preserve"> </w:t>
      </w:r>
      <w:r>
        <w:rPr>
          <w:b/>
          <w:bCs/>
        </w:rPr>
        <w:t xml:space="preserve">Rājendra-Choḍa</w:t>
      </w:r>
      <w:r>
        <w:t xml:space="preserve"> </w:t>
      </w:r>
      <w:r>
        <w:t xml:space="preserve">of the</w:t>
      </w:r>
      <w:r>
        <w:t xml:space="preserve"> </w:t>
      </w:r>
      <w:r>
        <w:rPr>
          <w:b/>
          <w:bCs/>
        </w:rPr>
        <w:t xml:space="preserve">Sūrya-vaṁśa</w:t>
      </w:r>
      <w:r>
        <w:t xml:space="preserve">, ascended the throne in</w:t>
      </w:r>
      <w:r>
        <w:t xml:space="preserve"> </w:t>
      </w:r>
      <w:r>
        <w:rPr>
          <w:i/>
          <w:iCs/>
        </w:rPr>
        <w:t xml:space="preserve">Śaka</w:t>
      </w:r>
      <w:r>
        <w:t xml:space="preserve"> </w:t>
      </w:r>
      <w:r>
        <w:t xml:space="preserve">944</w:t>
      </w:r>
      <w:r>
        <w:rPr>
          <w:rStyle w:val="FootnoteReference"/>
        </w:rPr>
        <w:footnoteReference w:id="25"/>
      </w:r>
      <w:r>
        <w:t xml:space="preserve"> </w:t>
      </w:r>
      <w:r>
        <w:t xml:space="preserve">and reigned 41 years (</w:t>
      </w:r>
      <w:r>
        <w:rPr>
          <w:i/>
          <w:iCs/>
        </w:rPr>
        <w:t xml:space="preserve">to Śaka</w:t>
      </w:r>
      <w:r>
        <w:t xml:space="preserve"> </w:t>
      </w:r>
      <w:r>
        <w:t xml:space="preserve">985). [C2]28. Vijayāditya VI. received the kingdom of Veṅgī from his nephew Rājendra-Choḍa and reigned 15 years (</w:t>
      </w:r>
      <w:r>
        <w:rPr>
          <w:i/>
          <w:iCs/>
        </w:rPr>
        <w:t xml:space="preserve">Śaka</w:t>
      </w:r>
      <w:r>
        <w:t xml:space="preserve"> </w:t>
      </w:r>
      <w:r>
        <w:t xml:space="preserve">985</w:t>
      </w:r>
      <w:r>
        <w:t xml:space="preserve"> </w:t>
      </w:r>
      <w:r>
        <w:rPr>
          <w:i/>
          <w:iCs/>
        </w:rPr>
        <w:t xml:space="preserve">to</w:t>
      </w:r>
      <w:r>
        <w:t xml:space="preserve"> </w:t>
      </w:r>
      <w:r>
        <w:t xml:space="preserve">1000). [C1]Rājendra-Choḍa,</w:t>
      </w:r>
      <w:r>
        <w:t xml:space="preserve"> </w:t>
      </w:r>
      <w:r>
        <w:rPr>
          <w:i/>
          <w:iCs/>
        </w:rPr>
        <w:t xml:space="preserve">alias</w:t>
      </w:r>
      <w:r>
        <w:t xml:space="preserve"> </w:t>
      </w:r>
      <w:r>
        <w:t xml:space="preserve">Kulottuṅga-Choḍa-deva I, Kulottuṅga-deva or Rājanārāyaṇa, Choḍa king, married Madhurāntakī, daughter of</w:t>
      </w:r>
      <w:r>
        <w:t xml:space="preserve"> </w:t>
      </w:r>
      <w:r>
        <w:rPr>
          <w:b/>
          <w:bCs/>
        </w:rPr>
        <w:t xml:space="preserve">Rājendradeva</w:t>
      </w:r>
      <w:r>
        <w:t xml:space="preserve"> </w:t>
      </w:r>
      <w:r>
        <w:t xml:space="preserve">of the</w:t>
      </w:r>
      <w:r>
        <w:t xml:space="preserve"> </w:t>
      </w:r>
      <w:r>
        <w:rPr>
          <w:b/>
          <w:bCs/>
        </w:rPr>
        <w:t xml:space="preserve">Sūrya-vaṁśa</w:t>
      </w:r>
      <w:r>
        <w:t xml:space="preserve">, and reigned 49 years (</w:t>
      </w:r>
      <w:r>
        <w:rPr>
          <w:i/>
          <w:iCs/>
        </w:rPr>
        <w:t xml:space="preserve">Śaka</w:t>
      </w:r>
      <w:r>
        <w:t xml:space="preserve"> </w:t>
      </w:r>
      <w:r>
        <w:t xml:space="preserve">985</w:t>
      </w:r>
      <w:r>
        <w:t xml:space="preserve"> </w:t>
      </w:r>
      <w:r>
        <w:rPr>
          <w:i/>
          <w:iCs/>
        </w:rPr>
        <w:t xml:space="preserve">to</w:t>
      </w:r>
      <w:r>
        <w:t xml:space="preserve"> </w:t>
      </w:r>
      <w:r>
        <w:t xml:space="preserve">1034). [C1]Vikrama-Choḍa (15</w:t>
      </w:r>
      <w:r>
        <w:t xml:space="preserve"> </w:t>
      </w:r>
      <w:r>
        <w:rPr>
          <w:i/>
          <w:iCs/>
        </w:rPr>
        <w:t xml:space="preserve">years; Śaka</w:t>
      </w:r>
      <w:r>
        <w:t xml:space="preserve"> </w:t>
      </w:r>
      <w:r>
        <w:t xml:space="preserve">1034</w:t>
      </w:r>
      <w:r>
        <w:t xml:space="preserve"> </w:t>
      </w:r>
      <w:r>
        <w:rPr>
          <w:i/>
          <w:iCs/>
        </w:rPr>
        <w:t xml:space="preserve">to</w:t>
      </w:r>
      <w:r>
        <w:t xml:space="preserve"> </w:t>
      </w:r>
      <w:r>
        <w:t xml:space="preserve">1049). [C2]29. Rājarāja II. (1</w:t>
      </w:r>
      <w:r>
        <w:t xml:space="preserve"> </w:t>
      </w:r>
      <w:r>
        <w:rPr>
          <w:i/>
          <w:iCs/>
        </w:rPr>
        <w:t xml:space="preserve">year; Śaka</w:t>
      </w:r>
      <w:r>
        <w:t xml:space="preserve"> </w:t>
      </w:r>
      <w:r>
        <w:t xml:space="preserve">1000</w:t>
      </w:r>
      <w:r>
        <w:t xml:space="preserve"> </w:t>
      </w:r>
      <w:r>
        <w:rPr>
          <w:i/>
          <w:iCs/>
        </w:rPr>
        <w:t xml:space="preserve">to</w:t>
      </w:r>
      <w:r>
        <w:t xml:space="preserve"> </w:t>
      </w:r>
      <w:r>
        <w:t xml:space="preserve">1001.) [C3]30. Vīra-Choḍa Vishṇuvardhana IX. ascended the throne in</w:t>
      </w:r>
      <w:r>
        <w:t xml:space="preserve"> </w:t>
      </w:r>
      <w:r>
        <w:rPr>
          <w:i/>
          <w:iCs/>
        </w:rPr>
        <w:t xml:space="preserve">Śaka</w:t>
      </w:r>
      <w:r>
        <w:t xml:space="preserve"> </w:t>
      </w:r>
      <w:r>
        <w:t xml:space="preserve">1001; a grant</w:t>
      </w:r>
      <w:r>
        <w:rPr>
          <w:rStyle w:val="FootnoteReference"/>
        </w:rPr>
        <w:footnoteReference w:id="26"/>
      </w:r>
      <w:r>
        <w:t xml:space="preserve"> </w:t>
      </w:r>
      <w:r>
        <w:t xml:space="preserve">is dated in the 21st year of his reign (</w:t>
      </w:r>
      <w:r>
        <w:rPr>
          <w:i/>
          <w:iCs/>
        </w:rPr>
        <w:t xml:space="preserve">Śaka</w:t>
      </w:r>
      <w:r>
        <w:t xml:space="preserve"> </w:t>
      </w:r>
      <w:r>
        <w:t xml:space="preserve">1022). [C4]</w:t>
      </w:r>
      <w:r>
        <w:rPr>
          <w:i/>
          <w:iCs/>
        </w:rPr>
        <w:t xml:space="preserve">Four other sons</w:t>
      </w:r>
      <w:r>
        <w:t xml:space="preserve">. [C1]Kulottuṅga-Choḍa-deva II. was reigning in</w:t>
      </w:r>
      <w:r>
        <w:t xml:space="preserve"> </w:t>
      </w:r>
      <w:r>
        <w:rPr>
          <w:i/>
          <w:iCs/>
        </w:rPr>
        <w:t xml:space="preserve">Śaka</w:t>
      </w:r>
      <w:r>
        <w:t xml:space="preserve"> </w:t>
      </w:r>
      <w:r>
        <w:t xml:space="preserve">1056.</w:t>
      </w:r>
      <w:r>
        <w:rPr>
          <w:rStyle w:val="FootnoteReference"/>
        </w:rPr>
        <w:footnoteReference w:id="27"/>
      </w:r>
    </w:p>
    <w:p>
      <w:r>
        <w:pict>
          <v:rect style="width:0;height:1.5pt" o:hralign="center" o:hrstd="t" o:hr="t"/>
        </w:pict>
      </w:r>
    </w:p>
    <w:p>
      <w:pPr>
        <w:pStyle w:val="Heading1"/>
      </w:pPr>
      <w:r>
        <w:t xml:space="preserve">Edition</w:t>
      </w:r>
    </w:p>
    <w:p>
      <w:pPr>
        <w:pStyle w:val="FirstParagraph"/>
      </w:pPr>
      <w:r>
        <w:rPr>
          <w:rStyle w:val="ColorGray"/>
        </w:rPr>
        <w:t xml:space="preserve">⟨Page 1r⟩</w:t>
      </w:r>
      <w:r>
        <w:rPr>
          <w:rStyle w:val="ColorGray"/>
        </w:rPr>
        <w:t xml:space="preserve"> </w:t>
      </w:r>
    </w:p>
    <w:p>
      <w:pPr>
        <w:pStyle w:val="BodyText"/>
      </w:pPr>
      <w:r>
        <w:rPr>
          <w:rStyle w:val="ColorGray"/>
        </w:rPr>
        <w:t xml:space="preserve">⟨Page 1v⟩</w:t>
      </w:r>
      <w:r>
        <w:rPr>
          <w:rStyle w:val="ColorGray"/>
        </w:rPr>
        <w:t xml:space="preserve"> </w:t>
      </w:r>
      <w:r>
        <w:rPr>
          <w:rStyle w:val="ColorGray"/>
        </w:rPr>
        <w:t xml:space="preserve"> </w:t>
      </w:r>
      <w:r>
        <w:rPr>
          <w:rStyle w:val="ColorGray"/>
        </w:rPr>
        <w:t xml:space="preserve">⟨1⟩</w:t>
      </w:r>
      <w:r>
        <w:rPr>
          <w:rStyle w:val="ColorGray"/>
        </w:rPr>
        <w:t xml:space="preserve"> </w:t>
      </w:r>
      <w:r>
        <w:t xml:space="preserve">svasti [∥] śrīmatāṁ sakalabhuvanasaṁstūyamānamānavyasagotrāṇāṁ hāritīputrāṇāṁ</w:t>
      </w:r>
      <w:r>
        <w:rPr>
          <w:rStyle w:val="ColorGray"/>
        </w:rPr>
        <w:t xml:space="preserve"> </w:t>
      </w:r>
      <w:r>
        <w:rPr>
          <w:rStyle w:val="ColorGray"/>
        </w:rPr>
        <w:t xml:space="preserve">⟨2⟩</w:t>
      </w:r>
      <w:r>
        <w:rPr>
          <w:rStyle w:val="ColorGray"/>
        </w:rPr>
        <w:t xml:space="preserve"> </w:t>
      </w:r>
      <w:r>
        <w:t xml:space="preserve">kauśikīvaraprasādalabdharājyānāṁ mātṛgaṇaparipālitānāṁ svāmimahāsenapā</w:t>
      </w:r>
      <w:r>
        <w:rPr>
          <w:rStyle w:val="ColorGray"/>
        </w:rPr>
        <w:t xml:space="preserve">⟨3⟩</w:t>
      </w:r>
      <w:r>
        <w:t xml:space="preserve">dānudhyātānāṁ bhagavannārāyaṇaprasādasamāsāditavaravarāhalāñchanekṣaṇa</w:t>
      </w:r>
      <w:r>
        <w:rPr>
          <w:rStyle w:val="ColorGray"/>
        </w:rPr>
        <w:t xml:space="preserve">⟨4⟩</w:t>
      </w:r>
      <w:r>
        <w:t xml:space="preserve">kṣaṇavaśīkṛtārātimaṇḍalānā</w:t>
      </w:r>
      <w:r>
        <w:rPr>
          <w:rStyle w:val="ColorRed"/>
        </w:rPr>
        <w:t xml:space="preserve">¿ A?</w:t>
      </w:r>
      <w:r>
        <w:rPr>
          <w:rStyle w:val="ColorGreen"/>
        </w:rPr>
        <w:t xml:space="preserve">⟨ma⟩</w:t>
      </w:r>
      <w:r>
        <w:t xml:space="preserve">śvamedhāvabhṛ</w:t>
      </w:r>
      <w:r>
        <w:rPr>
          <w:rStyle w:val="ColorRed"/>
        </w:rPr>
        <w:t xml:space="preserve">¿t?</w:t>
      </w:r>
      <w:r>
        <w:rPr>
          <w:rStyle w:val="ColorGreen"/>
        </w:rPr>
        <w:t xml:space="preserve">⟨th⟩</w:t>
      </w:r>
      <w:r>
        <w:t xml:space="preserve">asnānapavitrīkṛtavapu</w:t>
      </w:r>
      <w:r>
        <w:rPr>
          <w:rStyle w:val="ColorGray"/>
        </w:rPr>
        <w:t xml:space="preserve">⟨5⟩</w:t>
      </w:r>
      <w:r>
        <w:t xml:space="preserve">ṣāṁ caḷukyānāṁ kulamalaṁkaripṇo{ḥ}ranekasamaramaṁghaṭṭalabdhanijabhujavija</w:t>
      </w:r>
      <w:r>
        <w:rPr>
          <w:rStyle w:val="ColorGray"/>
        </w:rPr>
        <w:t xml:space="preserve">⟨6⟩</w:t>
      </w:r>
      <w:r>
        <w:t xml:space="preserve">yaśr</w:t>
      </w:r>
      <w:r>
        <w:rPr>
          <w:rStyle w:val="ColorRed"/>
        </w:rPr>
        <w:t xml:space="preserve">¿ī?</w:t>
      </w:r>
      <w:r>
        <w:rPr>
          <w:rStyle w:val="ColorGreen"/>
        </w:rPr>
        <w:t xml:space="preserve">⟨i⟩</w:t>
      </w:r>
      <w:r>
        <w:t xml:space="preserve">yaḥ niravadyodāraguṇagaṇālaṁkṛtasya śrīvijayādityamahārājasya</w:t>
      </w:r>
      <w:r>
        <w:rPr>
          <w:rStyle w:val="ColorGray"/>
        </w:rPr>
        <w:t xml:space="preserve"> </w:t>
      </w:r>
      <w:r>
        <w:rPr>
          <w:rStyle w:val="ColorGray"/>
        </w:rPr>
        <w:t xml:space="preserve">⟨7⟩</w:t>
      </w:r>
      <w:r>
        <w:rPr>
          <w:rStyle w:val="ColorGray"/>
        </w:rPr>
        <w:t xml:space="preserve"> </w:t>
      </w:r>
      <w:r>
        <w:t xml:space="preserve">pautraḥ sphuritakaravāḷadhārāvaśīkṛtārātibhūmaṇḍalasya svacaritanya⟨k⟩kṛta</w:t>
      </w:r>
      <w:r>
        <w:rPr>
          <w:rStyle w:val="ColorGray"/>
        </w:rPr>
        <w:t xml:space="preserve">⟨Page 2r⟩</w:t>
      </w:r>
      <w:r>
        <w:rPr>
          <w:rStyle w:val="ColorGray"/>
        </w:rPr>
        <w:t xml:space="preserve">⟨8⟩</w:t>
      </w:r>
      <w:r>
        <w:t xml:space="preserve">nṛganaḷanahuṣāṁvarīṣayayāte⟨r⟩ viṣṇoriva svacakranandakasya viṣṇuvarddhanamahā</w:t>
      </w:r>
      <w:r>
        <w:rPr>
          <w:rStyle w:val="ColorGray"/>
        </w:rPr>
        <w:t xml:space="preserve">⟨9⟩</w:t>
      </w:r>
      <w:r>
        <w:t xml:space="preserve">rājasya priyatanayaḥ pratā⟨pā⟩nurāgāvanatasamastasāmantamaulīlāḷitaśāsanaḥ</w:t>
      </w:r>
      <w:r>
        <w:rPr>
          <w:rStyle w:val="ColorGray"/>
        </w:rPr>
        <w:t xml:space="preserve"> </w:t>
      </w:r>
      <w:r>
        <w:rPr>
          <w:rStyle w:val="ColorGray"/>
        </w:rPr>
        <w:t xml:space="preserve">⟨10⟩</w:t>
      </w:r>
      <w:r>
        <w:rPr>
          <w:rStyle w:val="ColorGray"/>
        </w:rPr>
        <w:t xml:space="preserve"> </w:t>
      </w:r>
      <w:r>
        <w:t xml:space="preserve">kṣatrocitaśaktitrayapātrībhūtaḥ Anekasaṁgrāmavijayāsāditavikramadhava(ḷa)ḥ ya</w:t>
      </w:r>
      <w:r>
        <w:rPr>
          <w:rStyle w:val="ColorGray"/>
        </w:rPr>
        <w:t xml:space="preserve">⟨11⟩</w:t>
      </w:r>
      <w:r>
        <w:t xml:space="preserve">madaṇḍacaṇḍadorddaṇḍamaṇḍalāgranakhakhaṇḍitaripukarigaṇḍasthaḷ</w:t>
      </w:r>
      <w:r>
        <w:rPr>
          <w:rStyle w:val="ColorRed"/>
        </w:rPr>
        <w:t xml:space="preserve">¿e?</w:t>
      </w:r>
      <w:r>
        <w:rPr>
          <w:rStyle w:val="ColorGreen"/>
        </w:rPr>
        <w:t xml:space="preserve">⟨o⟩</w:t>
      </w:r>
      <w:r>
        <w:t xml:space="preserve"> </w:t>
      </w:r>
      <w:r>
        <w:t xml:space="preserve">narendramṛga</w:t>
      </w:r>
      <w:r>
        <w:rPr>
          <w:rStyle w:val="ColorGray"/>
        </w:rPr>
        <w:t xml:space="preserve">⟨12⟩</w:t>
      </w:r>
      <w:r>
        <w:t xml:space="preserve">rāj</w:t>
      </w:r>
      <w:r>
        <w:rPr>
          <w:rStyle w:val="ColorRed"/>
        </w:rPr>
        <w:t xml:space="preserve">¿ā?</w:t>
      </w:r>
      <w:r>
        <w:rPr>
          <w:rStyle w:val="ColorGreen"/>
        </w:rPr>
        <w:t xml:space="preserve">⟨aḥ⟩</w:t>
      </w:r>
      <w:r>
        <w:t xml:space="preserve"> </w:t>
      </w:r>
      <w:r>
        <w:t xml:space="preserve">Arātiṣaḍvargganigrahakaraḥ samadhigatarāj</w:t>
      </w:r>
      <w:r>
        <w:rPr>
          <w:rStyle w:val="ColorRed"/>
        </w:rPr>
        <w:t xml:space="preserve">¿ā?</w:t>
      </w:r>
      <w:r>
        <w:rPr>
          <w:rStyle w:val="ColorGreen"/>
        </w:rPr>
        <w:t xml:space="preserve">⟨a⟩</w:t>
      </w:r>
      <w:r>
        <w:t xml:space="preserve">vidyācatuṣṭayaḥ caturupāyapra</w:t>
      </w:r>
      <w:r>
        <w:rPr>
          <w:rStyle w:val="ColorGray"/>
        </w:rPr>
        <w:t xml:space="preserve">⟨13⟩</w:t>
      </w:r>
      <w:r>
        <w:t xml:space="preserve">yogacaturaḥ duṣṭ</w:t>
      </w:r>
      <w:r>
        <w:rPr>
          <w:rStyle w:val="ColorRed"/>
        </w:rPr>
        <w:t xml:space="preserve">¿ā?</w:t>
      </w:r>
      <w:r>
        <w:rPr>
          <w:rStyle w:val="ColorGreen"/>
        </w:rPr>
        <w:t xml:space="preserve">⟨a⟩</w:t>
      </w:r>
      <w:r>
        <w:t xml:space="preserve">nigrahaśiṣṭānugrahakaraḥ madhumathana Iva svavikramākrāntabhu(vana)ḥ</w:t>
      </w:r>
      <w:r>
        <w:rPr>
          <w:rStyle w:val="ColorGray"/>
        </w:rPr>
        <w:t xml:space="preserve"> </w:t>
      </w:r>
      <w:r>
        <w:rPr>
          <w:rStyle w:val="ColorGray"/>
        </w:rPr>
        <w:t xml:space="preserve">⟨14⟩</w:t>
      </w:r>
      <w:r>
        <w:rPr>
          <w:rStyle w:val="ColorGray"/>
        </w:rPr>
        <w:t xml:space="preserve"> </w:t>
      </w:r>
      <w:r>
        <w:t xml:space="preserve">yudhiṣṭhira Iva bhīmārjunaparākramasahāya⟨ḥ⟩ daśarathasuta Iva sītānandanakaraḥ manuri</w:t>
      </w:r>
      <w:r>
        <w:rPr>
          <w:rStyle w:val="ColorGray"/>
        </w:rPr>
        <w:t xml:space="preserve">⟨Page 2v⟩</w:t>
      </w:r>
      <w:r>
        <w:rPr>
          <w:rStyle w:val="ColorGray"/>
        </w:rPr>
        <w:t xml:space="preserve">⟨15⟩</w:t>
      </w:r>
      <w:r>
        <w:t xml:space="preserve">va sanmārggadarśśī padmāk</w:t>
      </w:r>
      <w:r>
        <w:rPr>
          <w:rStyle w:val="ColorRed"/>
        </w:rPr>
        <w:t xml:space="preserve">¿ā?</w:t>
      </w:r>
      <w:r>
        <w:rPr>
          <w:rStyle w:val="ColorGreen"/>
        </w:rPr>
        <w:t xml:space="preserve">⟨a⟩</w:t>
      </w:r>
      <w:r>
        <w:t xml:space="preserve">ra Iva Aritimiranikaravidhvaṁsanāditya(ḥ) paramabrahmaṇyaḥ (para)mam(āhe)</w:t>
      </w:r>
      <w:r>
        <w:rPr>
          <w:rStyle w:val="ColorGray"/>
        </w:rPr>
        <w:t xml:space="preserve">⟨16⟩</w:t>
      </w:r>
      <w:r>
        <w:t xml:space="preserve">śvaraḥ (sa)mastabh</w:t>
      </w:r>
      <w:r>
        <w:rPr>
          <w:rStyle w:val="ColorRed"/>
        </w:rPr>
        <w:t xml:space="preserve">¿ū?</w:t>
      </w:r>
      <w:r>
        <w:rPr>
          <w:rStyle w:val="ColorGreen"/>
        </w:rPr>
        <w:t xml:space="preserve">⟨u⟩</w:t>
      </w:r>
      <w:r>
        <w:t xml:space="preserve">vanāśrayaśrīvijayādityamahārājādhirājaparameśvarabhaṭṭārakaḥ [4+]</w:t>
      </w:r>
      <w:r>
        <w:rPr>
          <w:rStyle w:val="ColorGray"/>
        </w:rPr>
        <w:t xml:space="preserve"> </w:t>
      </w:r>
      <w:r>
        <w:rPr>
          <w:rStyle w:val="ColorGray"/>
        </w:rPr>
        <w:t xml:space="preserve">⟨17⟩</w:t>
      </w:r>
      <w:r>
        <w:rPr>
          <w:rStyle w:val="ColorGray"/>
        </w:rPr>
        <w:t xml:space="preserve"> </w:t>
      </w:r>
      <w:r>
        <w:t xml:space="preserve">(vādiviṣa)yanivāsino rāṣṭrakū{ṭ}ṭapramukha{ḥ}k</w:t>
      </w:r>
      <w:r>
        <w:rPr>
          <w:rStyle w:val="ColorRed"/>
        </w:rPr>
        <w:t xml:space="preserve">¿ū?</w:t>
      </w:r>
      <w:r>
        <w:rPr>
          <w:rStyle w:val="ColorGreen"/>
        </w:rPr>
        <w:t xml:space="preserve">⟨u⟩</w:t>
      </w:r>
      <w:r>
        <w:t xml:space="preserve">ṭu</w:t>
      </w:r>
      <w:r>
        <w:rPr>
          <w:rStyle w:val="ColorRed"/>
        </w:rPr>
        <w:t xml:space="preserve">¿ṁ?</w:t>
      </w:r>
      <w:r>
        <w:rPr>
          <w:rStyle w:val="ColorGreen"/>
        </w:rPr>
        <w:t xml:space="preserve">⟨m⟩</w:t>
      </w:r>
      <w:r>
        <w:t xml:space="preserve">binaḥ sarvvānitthamājñāpayati [∥] viditamastu</w:t>
      </w:r>
      <w:r>
        <w:rPr>
          <w:rStyle w:val="ColorGray"/>
        </w:rPr>
        <w:t xml:space="preserve"> </w:t>
      </w:r>
      <w:r>
        <w:rPr>
          <w:rStyle w:val="ColorGray"/>
        </w:rPr>
        <w:t xml:space="preserve">⟨18⟩</w:t>
      </w:r>
      <w:r>
        <w:rPr>
          <w:rStyle w:val="ColorGray"/>
        </w:rPr>
        <w:t xml:space="preserve"> </w:t>
      </w:r>
      <w:r>
        <w:t xml:space="preserve">vaḥ (A)bhipendaṇḍuruvāstavyāya kauśikagotrāya hiraṇy</w:t>
      </w:r>
      <w:r>
        <w:rPr>
          <w:rStyle w:val="ColorRed"/>
        </w:rPr>
        <w:t xml:space="preserve">¿ā?</w:t>
      </w:r>
      <w:r>
        <w:rPr>
          <w:rStyle w:val="ColorGreen"/>
        </w:rPr>
        <w:t xml:space="preserve">⟨a⟩</w:t>
      </w:r>
      <w:r>
        <w:t xml:space="preserve">keśisūtrāya veda</w:t>
      </w:r>
      <w:r>
        <w:rPr>
          <w:rStyle w:val="ColorGray"/>
        </w:rPr>
        <w:t xml:space="preserve">⟨19⟩</w:t>
      </w:r>
      <w:r>
        <w:t xml:space="preserve">vedāṁgap</w:t>
      </w:r>
      <w:r>
        <w:rPr>
          <w:rStyle w:val="ColorRed"/>
        </w:rPr>
        <w:t xml:space="preserve">¿a?</w:t>
      </w:r>
      <w:r>
        <w:rPr>
          <w:rStyle w:val="ColorGreen"/>
        </w:rPr>
        <w:t xml:space="preserve">⟨ā⟩</w:t>
      </w:r>
      <w:r>
        <w:t xml:space="preserve">ragāya veṇamaśarmmaṇe nalūcerivāstavyāya kauśika(gotrāya) hi</w:t>
      </w:r>
      <w:r>
        <w:rPr>
          <w:rStyle w:val="ColorGray"/>
        </w:rPr>
        <w:t xml:space="preserve">⟨20⟩</w:t>
      </w:r>
      <w:r>
        <w:t xml:space="preserve">raṇyakeśisūtrāya caṭiśarmmaṇe podeṁguvāstavyāya gautama(gotrāya hiraṇya)</w:t>
      </w:r>
      <w:r>
        <w:rPr>
          <w:rStyle w:val="ColorGray"/>
        </w:rPr>
        <w:t xml:space="preserve">⟨21⟩</w:t>
      </w:r>
      <w:r>
        <w:t xml:space="preserve">keśisūtrāya vidaśarmmaṇe podaṁguvāstavyāya saṁk</w:t>
      </w:r>
      <w:r>
        <w:rPr>
          <w:rStyle w:val="ColorRed"/>
        </w:rPr>
        <w:t xml:space="preserve">¿rī?</w:t>
      </w:r>
      <w:r>
        <w:rPr>
          <w:rStyle w:val="ColorGreen"/>
        </w:rPr>
        <w:t xml:space="preserve">⟨ṛ⟩</w:t>
      </w:r>
      <w:r>
        <w:t xml:space="preserve">ti gotrāya hiraṇy</w:t>
      </w:r>
      <w:r>
        <w:rPr>
          <w:rStyle w:val="ColorRed"/>
        </w:rPr>
        <w:t xml:space="preserve">¿ā?</w:t>
      </w:r>
      <w:r>
        <w:rPr>
          <w:rStyle w:val="ColorGreen"/>
        </w:rPr>
        <w:t xml:space="preserve">⟨a⟩</w:t>
      </w:r>
      <w:r>
        <w:t xml:space="preserve">keśisū</w:t>
      </w:r>
      <w:r>
        <w:rPr>
          <w:rStyle w:val="ColorGray"/>
        </w:rPr>
        <w:t xml:space="preserve">⟨Page 3r⟩</w:t>
      </w:r>
      <w:r>
        <w:rPr>
          <w:rStyle w:val="ColorGray"/>
        </w:rPr>
        <w:t xml:space="preserve">⟨22⟩</w:t>
      </w:r>
      <w:r>
        <w:t xml:space="preserve">trāya maviṇḍiśarmmaṇe podeṁguvāstavy</w:t>
      </w:r>
      <w:r>
        <w:rPr>
          <w:rStyle w:val="ColorRed"/>
        </w:rPr>
        <w:t xml:space="preserve">¿a?</w:t>
      </w:r>
      <w:r>
        <w:rPr>
          <w:rStyle w:val="ColorGreen"/>
        </w:rPr>
        <w:t xml:space="preserve">⟨ā⟩</w:t>
      </w:r>
      <w:r>
        <w:t xml:space="preserve">ya</w:t>
      </w:r>
      <w:r>
        <w:t xml:space="preserve"> </w:t>
      </w:r>
      <w:r>
        <w:rPr>
          <w:rStyle w:val="ColorRed"/>
        </w:rPr>
        <w:t xml:space="preserve">¿A?</w:t>
      </w:r>
      <w:r>
        <w:rPr>
          <w:rStyle w:val="ColorGreen"/>
        </w:rPr>
        <w:t xml:space="preserve">⟨ha⟩</w:t>
      </w:r>
      <w:r>
        <w:t xml:space="preserve">ritagotrāya hiraṇy</w:t>
      </w:r>
      <w:r>
        <w:rPr>
          <w:rStyle w:val="ColorRed"/>
        </w:rPr>
        <w:t xml:space="preserve">¿ā?</w:t>
      </w:r>
      <w:r>
        <w:rPr>
          <w:rStyle w:val="ColorGreen"/>
        </w:rPr>
        <w:t xml:space="preserve">⟨a⟩</w:t>
      </w:r>
      <w:r>
        <w:t xml:space="preserve">keśisūtrāya yā</w:t>
      </w:r>
      <w:r>
        <w:rPr>
          <w:rStyle w:val="ColorGray"/>
        </w:rPr>
        <w:t xml:space="preserve">⟨23⟩</w:t>
      </w:r>
      <w:r>
        <w:t xml:space="preserve">jñaśarmmaṇe podeṁguv</w:t>
      </w:r>
      <w:r>
        <w:rPr>
          <w:rStyle w:val="ColorRed"/>
        </w:rPr>
        <w:t xml:space="preserve">¿a?</w:t>
      </w:r>
      <w:r>
        <w:rPr>
          <w:rStyle w:val="ColorGreen"/>
        </w:rPr>
        <w:t xml:space="preserve">⟨ā⟩</w:t>
      </w:r>
      <w:r>
        <w:t xml:space="preserve">stavyāya saṁk</w:t>
      </w:r>
      <w:r>
        <w:rPr>
          <w:rStyle w:val="ColorRed"/>
        </w:rPr>
        <w:t xml:space="preserve">¿ri?</w:t>
      </w:r>
      <w:r>
        <w:rPr>
          <w:rStyle w:val="ColorGreen"/>
        </w:rPr>
        <w:t xml:space="preserve">⟨ṛ⟩</w:t>
      </w:r>
      <w:r>
        <w:t xml:space="preserve">tigotrāya hiraṇy</w:t>
      </w:r>
      <w:r>
        <w:rPr>
          <w:rStyle w:val="ColorRed"/>
        </w:rPr>
        <w:t xml:space="preserve">¿ā?</w:t>
      </w:r>
      <w:r>
        <w:rPr>
          <w:rStyle w:val="ColorGreen"/>
        </w:rPr>
        <w:t xml:space="preserve">⟨a⟩</w:t>
      </w:r>
      <w:r>
        <w:t xml:space="preserve">keśisūtrā(ya) [2+] (śa)rmma</w:t>
      </w:r>
      <w:r>
        <w:rPr>
          <w:rStyle w:val="ColorGray"/>
        </w:rPr>
        <w:t xml:space="preserve">⟨24⟩</w:t>
      </w:r>
      <w:r>
        <w:t xml:space="preserve">ṇe krovāśiriv</w:t>
      </w:r>
      <w:r>
        <w:rPr>
          <w:rStyle w:val="ColorRed"/>
        </w:rPr>
        <w:t xml:space="preserve">¿a?</w:t>
      </w:r>
      <w:r>
        <w:rPr>
          <w:rStyle w:val="ColorGreen"/>
        </w:rPr>
        <w:t xml:space="preserve">⟨ā⟩</w:t>
      </w:r>
      <w:r>
        <w:t xml:space="preserve">stavyāya</w:t>
      </w:r>
      <w:r>
        <w:t xml:space="preserve"> </w:t>
      </w:r>
      <w:r>
        <w:rPr>
          <w:rStyle w:val="ColorRed"/>
        </w:rPr>
        <w:t xml:space="preserve">¿A?</w:t>
      </w:r>
      <w:r>
        <w:rPr>
          <w:rStyle w:val="ColorGreen"/>
        </w:rPr>
        <w:t xml:space="preserve">⟨ha⟩</w:t>
      </w:r>
      <w:r>
        <w:t xml:space="preserve">ritagotrāya Apastambasūtrā(ya kāma)śarmma</w:t>
      </w:r>
      <w:r>
        <w:rPr>
          <w:rStyle w:val="ColorGray"/>
        </w:rPr>
        <w:t xml:space="preserve"> </w:t>
      </w:r>
      <w:r>
        <w:rPr>
          <w:rStyle w:val="ColorGray"/>
        </w:rPr>
        <w:t xml:space="preserve">⟨25⟩</w:t>
      </w:r>
      <w:r>
        <w:rPr>
          <w:rStyle w:val="ColorGray"/>
        </w:rPr>
        <w:t xml:space="preserve"> </w:t>
      </w:r>
      <w:r>
        <w:t xml:space="preserve">ṇe Urpuṭūruv</w:t>
      </w:r>
      <w:r>
        <w:rPr>
          <w:rStyle w:val="ColorRed"/>
        </w:rPr>
        <w:t xml:space="preserve">¿a?</w:t>
      </w:r>
      <w:r>
        <w:rPr>
          <w:rStyle w:val="ColorGreen"/>
        </w:rPr>
        <w:t xml:space="preserve">⟨ā⟩</w:t>
      </w:r>
      <w:r>
        <w:t xml:space="preserve">stavyāya bhāradvājagotrāya Apa(stamba)sūtrāya</w:t>
      </w:r>
      <w:r>
        <w:rPr>
          <w:rStyle w:val="ColorGray"/>
        </w:rPr>
        <w:t xml:space="preserve"> </w:t>
      </w:r>
      <w:r>
        <w:rPr>
          <w:rStyle w:val="ColorGray"/>
        </w:rPr>
        <w:t xml:space="preserve">⟨26⟩</w:t>
      </w:r>
      <w:r>
        <w:rPr>
          <w:rStyle w:val="ColorGray"/>
        </w:rPr>
        <w:t xml:space="preserve"> </w:t>
      </w:r>
      <w:r>
        <w:t xml:space="preserve">viṣṇuśarmmaṇe vaṁgipaṟṟuv</w:t>
      </w:r>
      <w:r>
        <w:rPr>
          <w:rStyle w:val="ColorRed"/>
        </w:rPr>
        <w:t xml:space="preserve">¿a?</w:t>
      </w:r>
      <w:r>
        <w:rPr>
          <w:rStyle w:val="ColorGreen"/>
        </w:rPr>
        <w:t xml:space="preserve">⟨ā⟩</w:t>
      </w:r>
      <w:r>
        <w:t xml:space="preserve">stavyāya kauṇḍinyagotrā⟨ya⟩ Apastamba{mba}sūtrā</w:t>
      </w:r>
      <w:r>
        <w:rPr>
          <w:rStyle w:val="ColorGray"/>
        </w:rPr>
        <w:t xml:space="preserve">⟨27⟩</w:t>
      </w:r>
      <w:r>
        <w:t xml:space="preserve">ya guñjadevaśarmmaṇe vaṁgipaṟṟuv</w:t>
      </w:r>
      <w:r>
        <w:rPr>
          <w:rStyle w:val="ColorRed"/>
        </w:rPr>
        <w:t xml:space="preserve">¿a?</w:t>
      </w:r>
      <w:r>
        <w:rPr>
          <w:rStyle w:val="ColorGreen"/>
        </w:rPr>
        <w:t xml:space="preserve">⟨ā⟩</w:t>
      </w:r>
      <w:r>
        <w:t xml:space="preserve">stavyāya śāṇḍilya(gotrāya) Apa</w:t>
      </w:r>
      <w:r>
        <w:rPr>
          <w:rStyle w:val="ColorGray"/>
        </w:rPr>
        <w:t xml:space="preserve">⟨28⟩</w:t>
      </w:r>
      <w:r>
        <w:t xml:space="preserve">stambasūtrā⟨ya⟩ bhadraśarmmaṇe vaṁgipaṟṟuv</w:t>
      </w:r>
      <w:r>
        <w:rPr>
          <w:rStyle w:val="ColorRed"/>
        </w:rPr>
        <w:t xml:space="preserve">¿a?</w:t>
      </w:r>
      <w:r>
        <w:rPr>
          <w:rStyle w:val="ColorGreen"/>
        </w:rPr>
        <w:t xml:space="preserve">⟨ā⟩</w:t>
      </w:r>
      <w:r>
        <w:t xml:space="preserve">stavyāya kauṇḍinyagotrāya Apa</w:t>
      </w:r>
      <w:r>
        <w:rPr>
          <w:rStyle w:val="ColorGray"/>
        </w:rPr>
        <w:t xml:space="preserve">⟨Page 3v⟩</w:t>
      </w:r>
      <w:r>
        <w:rPr>
          <w:rStyle w:val="ColorGray"/>
        </w:rPr>
        <w:t xml:space="preserve">⟨29⟩</w:t>
      </w:r>
      <w:r>
        <w:t xml:space="preserve">stambasūtrāya viṣṇuśarmmaṇe vaṁgipaṟṟuv</w:t>
      </w:r>
      <w:r>
        <w:rPr>
          <w:rStyle w:val="ColorRed"/>
        </w:rPr>
        <w:t xml:space="preserve">¿a?</w:t>
      </w:r>
      <w:r>
        <w:rPr>
          <w:rStyle w:val="ColorGreen"/>
        </w:rPr>
        <w:t xml:space="preserve">⟨ā⟩</w:t>
      </w:r>
      <w:r>
        <w:t xml:space="preserve">stavyāya kauṇḍinyagotrāya A</w:t>
      </w:r>
      <w:r>
        <w:rPr>
          <w:rStyle w:val="ColorGray"/>
        </w:rPr>
        <w:t xml:space="preserve">⟨30⟩</w:t>
      </w:r>
      <w:r>
        <w:t xml:space="preserve">pastambasūtrāya nārāyaṇaśarmmaṇe cānturuv</w:t>
      </w:r>
      <w:r>
        <w:rPr>
          <w:rStyle w:val="ColorRed"/>
        </w:rPr>
        <w:t xml:space="preserve">¿a?</w:t>
      </w:r>
      <w:r>
        <w:rPr>
          <w:rStyle w:val="ColorGreen"/>
        </w:rPr>
        <w:t xml:space="preserve">⟨ā⟩</w:t>
      </w:r>
      <w:r>
        <w:t xml:space="preserve">stavyāya bhāradvājagotrā</w:t>
      </w:r>
      <w:r>
        <w:rPr>
          <w:rStyle w:val="ColorGray"/>
        </w:rPr>
        <w:t xml:space="preserve">⟨31⟩</w:t>
      </w:r>
      <w:r>
        <w:t xml:space="preserve">ya Apastambasūtrāya droṇaśarmmaṇe cānturuv</w:t>
      </w:r>
      <w:r>
        <w:rPr>
          <w:rStyle w:val="ColorRed"/>
        </w:rPr>
        <w:t xml:space="preserve">¿a?</w:t>
      </w:r>
      <w:r>
        <w:rPr>
          <w:rStyle w:val="ColorGreen"/>
        </w:rPr>
        <w:t xml:space="preserve">⟨ā⟩</w:t>
      </w:r>
      <w:r>
        <w:t xml:space="preserve">stavyāya bhāradvā</w:t>
      </w:r>
      <w:r>
        <w:rPr>
          <w:rStyle w:val="ColorGray"/>
        </w:rPr>
        <w:t xml:space="preserve">⟨32⟩</w:t>
      </w:r>
      <w:r>
        <w:t xml:space="preserve">jagotrāya Āpastambasūtrāya nārāyaṇaśarmmaṇe krovaśiriv</w:t>
      </w:r>
      <w:r>
        <w:rPr>
          <w:rStyle w:val="ColorRed"/>
        </w:rPr>
        <w:t xml:space="preserve">¿a?</w:t>
      </w:r>
      <w:r>
        <w:rPr>
          <w:rStyle w:val="ColorGreen"/>
        </w:rPr>
        <w:t xml:space="preserve">⟨ā⟩</w:t>
      </w:r>
      <w:r>
        <w:t xml:space="preserve">stavyā</w:t>
      </w:r>
      <w:r>
        <w:rPr>
          <w:rStyle w:val="ColorGray"/>
        </w:rPr>
        <w:t xml:space="preserve">⟨33⟩</w:t>
      </w:r>
      <w:r>
        <w:t xml:space="preserve">ya haritagotrāya Āpastambasūtrāya mādhavaśarmmaṇe krovaśiriv</w:t>
      </w:r>
      <w:r>
        <w:rPr>
          <w:rStyle w:val="ColorRed"/>
        </w:rPr>
        <w:t xml:space="preserve">¿a?</w:t>
      </w:r>
      <w:r>
        <w:rPr>
          <w:rStyle w:val="ColorGreen"/>
        </w:rPr>
        <w:t xml:space="preserve">⟨ā⟩</w:t>
      </w:r>
      <w:r>
        <w:t xml:space="preserve">sta</w:t>
      </w:r>
      <w:r>
        <w:rPr>
          <w:rStyle w:val="ColorGray"/>
        </w:rPr>
        <w:t xml:space="preserve">⟨Page 4r⟩</w:t>
      </w:r>
      <w:r>
        <w:rPr>
          <w:rStyle w:val="ColorGray"/>
        </w:rPr>
        <w:t xml:space="preserve">⟨34⟩</w:t>
      </w:r>
      <w:r>
        <w:t xml:space="preserve">vy</w:t>
      </w:r>
      <w:r>
        <w:rPr>
          <w:rStyle w:val="ColorRed"/>
        </w:rPr>
        <w:t xml:space="preserve">¿a?</w:t>
      </w:r>
      <w:r>
        <w:rPr>
          <w:rStyle w:val="ColorGreen"/>
        </w:rPr>
        <w:t xml:space="preserve">⟨ā⟩</w:t>
      </w:r>
      <w:r>
        <w:t xml:space="preserve">ya par</w:t>
      </w:r>
      <w:r>
        <w:rPr>
          <w:rStyle w:val="ColorRed"/>
        </w:rPr>
        <w:t xml:space="preserve">¿as?</w:t>
      </w:r>
      <w:r>
        <w:rPr>
          <w:rStyle w:val="ColorGreen"/>
        </w:rPr>
        <w:t xml:space="preserve">⟨āś⟩</w:t>
      </w:r>
      <w:r>
        <w:t xml:space="preserve">aragotr</w:t>
      </w:r>
      <w:r>
        <w:rPr>
          <w:rStyle w:val="ColorRed"/>
        </w:rPr>
        <w:t xml:space="preserve">¿a?</w:t>
      </w:r>
      <w:r>
        <w:rPr>
          <w:rStyle w:val="ColorGreen"/>
        </w:rPr>
        <w:t xml:space="preserve">⟨ā⟩</w:t>
      </w:r>
      <w:r>
        <w:t xml:space="preserve">ya Apastambasūtrāya vennamaśarmmaṇe krovaśiriv</w:t>
      </w:r>
      <w:r>
        <w:rPr>
          <w:rStyle w:val="ColorRed"/>
        </w:rPr>
        <w:t xml:space="preserve">¿a?</w:t>
      </w:r>
      <w:r>
        <w:rPr>
          <w:rStyle w:val="ColorGreen"/>
        </w:rPr>
        <w:t xml:space="preserve">⟨ā⟩</w:t>
      </w:r>
      <w:r>
        <w:t xml:space="preserve">stavyāya vatsago</w:t>
      </w:r>
      <w:r>
        <w:rPr>
          <w:rStyle w:val="ColorGray"/>
        </w:rPr>
        <w:t xml:space="preserve">⟨35⟩</w:t>
      </w:r>
      <w:r>
        <w:t xml:space="preserve">trāya Apastambasūtrāya Arudiśarmmaṇe Urpuṭūruv</w:t>
      </w:r>
      <w:r>
        <w:rPr>
          <w:rStyle w:val="ColorRed"/>
        </w:rPr>
        <w:t xml:space="preserve">¿a?</w:t>
      </w:r>
      <w:r>
        <w:rPr>
          <w:rStyle w:val="ColorGreen"/>
        </w:rPr>
        <w:t xml:space="preserve">⟨ā⟩</w:t>
      </w:r>
      <w:r>
        <w:t xml:space="preserve">stavyāya bhāradvājagotrāya</w:t>
      </w:r>
      <w:r>
        <w:rPr>
          <w:rStyle w:val="ColorGray"/>
        </w:rPr>
        <w:t xml:space="preserve"> </w:t>
      </w:r>
      <w:r>
        <w:rPr>
          <w:rStyle w:val="ColorGray"/>
        </w:rPr>
        <w:t xml:space="preserve">⟨36⟩</w:t>
      </w:r>
      <w:r>
        <w:rPr>
          <w:rStyle w:val="ColorGray"/>
        </w:rPr>
        <w:t xml:space="preserve"> </w:t>
      </w:r>
      <w:r>
        <w:t xml:space="preserve">Apastambasūtrāya nandiśarmmaṇe kārahaiduv</w:t>
      </w:r>
      <w:r>
        <w:rPr>
          <w:rStyle w:val="ColorRed"/>
        </w:rPr>
        <w:t xml:space="preserve">¿a?</w:t>
      </w:r>
      <w:r>
        <w:rPr>
          <w:rStyle w:val="ColorGreen"/>
        </w:rPr>
        <w:t xml:space="preserve">⟨ā⟩</w:t>
      </w:r>
      <w:r>
        <w:t xml:space="preserve">stavyāya bhāradvājagotrāya Apa</w:t>
      </w:r>
      <w:r>
        <w:rPr>
          <w:rStyle w:val="ColorGray"/>
        </w:rPr>
        <w:t xml:space="preserve">⟨37⟩</w:t>
      </w:r>
      <w:r>
        <w:t xml:space="preserve">stambasūtrāya viṣṇuśarmmaṇe kārahaiduv</w:t>
      </w:r>
      <w:r>
        <w:rPr>
          <w:rStyle w:val="ColorRed"/>
        </w:rPr>
        <w:t xml:space="preserve">¿a?</w:t>
      </w:r>
      <w:r>
        <w:rPr>
          <w:rStyle w:val="ColorGreen"/>
        </w:rPr>
        <w:t xml:space="preserve">⟨ā⟩</w:t>
      </w:r>
      <w:r>
        <w:t xml:space="preserve">stavyāya bhāradvājagotrāya Apastambasūtrā</w:t>
      </w:r>
      <w:r>
        <w:rPr>
          <w:rStyle w:val="ColorGray"/>
        </w:rPr>
        <w:t xml:space="preserve">⟨38⟩</w:t>
      </w:r>
      <w:r>
        <w:t xml:space="preserve">ya bhāramāśarmmaṇe kārahaiduv</w:t>
      </w:r>
      <w:r>
        <w:rPr>
          <w:rStyle w:val="ColorRed"/>
        </w:rPr>
        <w:t xml:space="preserve">¿a?</w:t>
      </w:r>
      <w:r>
        <w:rPr>
          <w:rStyle w:val="ColorGreen"/>
        </w:rPr>
        <w:t xml:space="preserve">⟨ā⟩</w:t>
      </w:r>
      <w:r>
        <w:t xml:space="preserve">stavyāya bhāradvājagotrāya Apastambasūtrāya yañjaśa</w:t>
      </w:r>
      <w:r>
        <w:rPr>
          <w:rStyle w:val="ColorGray"/>
        </w:rPr>
        <w:t xml:space="preserve">⟨Page 4v⟩</w:t>
      </w:r>
      <w:r>
        <w:rPr>
          <w:rStyle w:val="ColorGray"/>
        </w:rPr>
        <w:t xml:space="preserve">⟨39⟩</w:t>
      </w:r>
      <w:r>
        <w:t xml:space="preserve">rmmaṇe (cāntu)⟨ru⟩v</w:t>
      </w:r>
      <w:r>
        <w:rPr>
          <w:rStyle w:val="ColorRed"/>
        </w:rPr>
        <w:t xml:space="preserve">¿a?</w:t>
      </w:r>
      <w:r>
        <w:rPr>
          <w:rStyle w:val="ColorGreen"/>
        </w:rPr>
        <w:t xml:space="preserve">⟨ā⟩</w:t>
      </w:r>
      <w:r>
        <w:t xml:space="preserve">stavy(ā)ya bhāradvājagotrāya Apastambasūtrāya bādadiśarmmaṇe krāja</w:t>
      </w:r>
      <w:r>
        <w:rPr>
          <w:rStyle w:val="ColorGray"/>
        </w:rPr>
        <w:t xml:space="preserve">⟨40⟩</w:t>
      </w:r>
      <w:r>
        <w:t xml:space="preserve">v</w:t>
      </w:r>
      <w:r>
        <w:rPr>
          <w:rStyle w:val="ColorRed"/>
        </w:rPr>
        <w:t xml:space="preserve">¿a?</w:t>
      </w:r>
      <w:r>
        <w:rPr>
          <w:rStyle w:val="ColorGreen"/>
        </w:rPr>
        <w:t xml:space="preserve">⟨ā⟩</w:t>
      </w:r>
      <w:r>
        <w:t xml:space="preserve">stavyāya kauṇḍinyagotrāya Apastambasūtrāya veṇṇaśarmmaṇe rāyūruv</w:t>
      </w:r>
      <w:r>
        <w:rPr>
          <w:rStyle w:val="ColorRed"/>
        </w:rPr>
        <w:t xml:space="preserve">¿a?</w:t>
      </w:r>
      <w:r>
        <w:rPr>
          <w:rStyle w:val="ColorGreen"/>
        </w:rPr>
        <w:t xml:space="preserve">⟨ā⟩</w:t>
      </w:r>
      <w:r>
        <w:t xml:space="preserve">stavy(ā)</w:t>
      </w:r>
      <w:r>
        <w:rPr>
          <w:rStyle w:val="ColorGray"/>
        </w:rPr>
        <w:t xml:space="preserve">⟨41⟩</w:t>
      </w:r>
      <w:r>
        <w:t xml:space="preserve">ya Agn</w:t>
      </w:r>
      <w:r>
        <w:rPr>
          <w:rStyle w:val="ColorRed"/>
        </w:rPr>
        <w:t xml:space="preserve">¿ī?</w:t>
      </w:r>
      <w:r>
        <w:rPr>
          <w:rStyle w:val="ColorGreen"/>
        </w:rPr>
        <w:t xml:space="preserve">⟨i⟩</w:t>
      </w:r>
      <w:r>
        <w:t xml:space="preserve">(veśya)gotrāya Apastambasūtrāya ṟompayaśarmmaṇe vedavedāṁgaratebhyaḥ</w:t>
      </w:r>
      <w:r>
        <w:rPr>
          <w:rStyle w:val="ColorGray"/>
        </w:rPr>
        <w:t xml:space="preserve"> </w:t>
      </w:r>
      <w:r>
        <w:rPr>
          <w:rStyle w:val="ColorGray"/>
        </w:rPr>
        <w:t xml:space="preserve">⟨42⟩</w:t>
      </w:r>
      <w:r>
        <w:rPr>
          <w:rStyle w:val="ColorGray"/>
        </w:rPr>
        <w:t xml:space="preserve"> </w:t>
      </w:r>
      <w:r>
        <w:t xml:space="preserve">ṣaṭkarmmaniratebhya⟨ś⟩ cat</w:t>
      </w:r>
      <w:r>
        <w:rPr>
          <w:rStyle w:val="ColorRed"/>
        </w:rPr>
        <w:t xml:space="preserve">¿ru?</w:t>
      </w:r>
      <w:r>
        <w:rPr>
          <w:rStyle w:val="ColorGreen"/>
        </w:rPr>
        <w:t xml:space="preserve">⟨ur⟩</w:t>
      </w:r>
      <w:r>
        <w:t xml:space="preserve">viṁśātibrāhmaṇebhy</w:t>
      </w:r>
      <w:r>
        <w:rPr>
          <w:rStyle w:val="ColorRed"/>
        </w:rPr>
        <w:t xml:space="preserve">¿ā?</w:t>
      </w:r>
      <w:r>
        <w:rPr>
          <w:rStyle w:val="ColorGreen"/>
        </w:rPr>
        <w:t xml:space="preserve">⟨aś⟩</w:t>
      </w:r>
      <w:r>
        <w:t xml:space="preserve"> </w:t>
      </w:r>
      <w:r>
        <w:t xml:space="preserve">candr</w:t>
      </w:r>
      <w:r>
        <w:rPr>
          <w:rStyle w:val="ColorRed"/>
        </w:rPr>
        <w:t xml:space="preserve">¿u?</w:t>
      </w:r>
      <w:r>
        <w:rPr>
          <w:rStyle w:val="ColorGreen"/>
        </w:rPr>
        <w:t xml:space="preserve">⟨a⟩</w:t>
      </w:r>
      <w:r>
        <w:t xml:space="preserve">grahaṇani(mitte Udaka)pū</w:t>
      </w:r>
      <w:r>
        <w:rPr>
          <w:rStyle w:val="ColorGray"/>
        </w:rPr>
        <w:t xml:space="preserve">⟨43⟩</w:t>
      </w:r>
      <w:r>
        <w:t xml:space="preserve">r</w:t>
      </w:r>
      <w:r>
        <w:rPr>
          <w:rStyle w:val="ColorRed"/>
        </w:rPr>
        <w:t xml:space="preserve">¿vva?</w:t>
      </w:r>
      <w:r>
        <w:rPr>
          <w:rStyle w:val="ColorGreen"/>
        </w:rPr>
        <w:t xml:space="preserve">⟨vaṁ⟩</w:t>
      </w:r>
      <w:r>
        <w:t xml:space="preserve"> </w:t>
      </w:r>
      <w:r>
        <w:t xml:space="preserve">(ko)(ṟṟa)(pa)(ṟṟu) nāma grāmassarvvakaraparih(ā)raṁ (kṛtvā) dattaḥ [|] Asyāvadhivica(āraḥ pū)rvva(taḥ) A</w:t>
      </w:r>
      <w:r>
        <w:rPr>
          <w:rStyle w:val="ColorGray"/>
        </w:rPr>
        <w:t xml:space="preserve">⟨44⟩</w:t>
      </w:r>
      <w:r>
        <w:t xml:space="preserve">tū(gupa)(ṟṟu) da(kṣiṇataḥ vā)napaṟṟu paścimataḥ vā(ṇḍha)(ṟū)pe(dayū) Uttarataḥ gana(yyā)ra</w:t>
      </w:r>
      <w:r>
        <w:rPr>
          <w:rStyle w:val="ColorGray"/>
        </w:rPr>
        <w:t xml:space="preserve">⟨45⟩</w:t>
      </w:r>
      <w:r>
        <w:t xml:space="preserve">bu ca(turviśatyai) datta⟨ḥ⟩ ⟨|⟩ Asyopari na (kena)cidbādhā karaṇīyā ⟨|⟩ karoti yassa pa</w:t>
      </w:r>
      <w:r>
        <w:rPr>
          <w:rStyle w:val="ColorGray"/>
        </w:rPr>
        <w:t xml:space="preserve">⟨Page 5r⟩</w:t>
      </w:r>
      <w:r>
        <w:rPr>
          <w:rStyle w:val="ColorGray"/>
        </w:rPr>
        <w:t xml:space="preserve">⟨46⟩</w:t>
      </w:r>
      <w:r>
        <w:t xml:space="preserve">ñcamahāpātaka(saṁ)yukto bhavati [∥] vyāsenāpyuktaṁ [∥] bahubhirvvasudhā dattā bahubhiścānu</w:t>
      </w:r>
      <w:r>
        <w:rPr>
          <w:rStyle w:val="ColorGray"/>
        </w:rPr>
        <w:t xml:space="preserve">⟨47⟩</w:t>
      </w:r>
      <w:r>
        <w:t xml:space="preserve">pālitā [|] yasya yasya yadā bhūmistasya tasya tadā phalaṁ [∥] svad</w:t>
      </w:r>
      <w:r>
        <w:rPr>
          <w:rStyle w:val="ColorRed"/>
        </w:rPr>
        <w:t xml:space="preserve">¿ā?</w:t>
      </w:r>
      <w:r>
        <w:rPr>
          <w:rStyle w:val="ColorGreen"/>
        </w:rPr>
        <w:t xml:space="preserve">⟨a⟩</w:t>
      </w:r>
      <w:r>
        <w:t xml:space="preserve">ttāṁ para(da)ttāṁ vā (yo) hareta</w:t>
      </w:r>
      <w:r>
        <w:rPr>
          <w:rStyle w:val="ColorGray"/>
        </w:rPr>
        <w:t xml:space="preserve"> </w:t>
      </w:r>
      <w:r>
        <w:rPr>
          <w:rStyle w:val="ColorGray"/>
        </w:rPr>
        <w:t xml:space="preserve">⟨48⟩</w:t>
      </w:r>
      <w:r>
        <w:rPr>
          <w:rStyle w:val="ColorGray"/>
        </w:rPr>
        <w:t xml:space="preserve"> </w:t>
      </w:r>
      <w:r>
        <w:t xml:space="preserve">vasundharāṁ [|] ṣaṣṭivar{u}ṣasahasrāṇi viṣṭhāyāṁ jāyate kṛmiḥ [∥] kalpa(koṭisahasrā)ṇi</w:t>
      </w:r>
      <w:r>
        <w:rPr>
          <w:rStyle w:val="ColorGray"/>
        </w:rPr>
        <w:t xml:space="preserve"> </w:t>
      </w:r>
      <w:r>
        <w:rPr>
          <w:rStyle w:val="ColorGray"/>
        </w:rPr>
        <w:t xml:space="preserve">⟨49⟩</w:t>
      </w:r>
      <w:r>
        <w:rPr>
          <w:rStyle w:val="ColorGray"/>
        </w:rPr>
        <w:t xml:space="preserve"> </w:t>
      </w:r>
      <w:r>
        <w:t xml:space="preserve">sva(rge mo)dati bhūmida⟨ḥ⟩ ⟨|⟩</w:t>
      </w:r>
      <w:r>
        <w:t xml:space="preserve"> </w:t>
      </w:r>
      <w:r>
        <w:rPr>
          <w:rStyle w:val="ColorRed"/>
        </w:rPr>
        <w:t xml:space="preserve">¿A?</w:t>
      </w:r>
      <w:r>
        <w:rPr>
          <w:rStyle w:val="ColorGreen"/>
        </w:rPr>
        <w:t xml:space="preserve">⟨Ā⟩</w:t>
      </w:r>
      <w:r>
        <w:t xml:space="preserve">kṣeptā cānumantā ca tānyeva narake vaset· [∥] rāmeṇāpyu</w:t>
      </w:r>
      <w:r>
        <w:rPr>
          <w:rStyle w:val="ColorGray"/>
        </w:rPr>
        <w:t xml:space="preserve">⟨50⟩</w:t>
      </w:r>
      <w:r>
        <w:t xml:space="preserve">ktaṁ [∥] sarvvānevaṁ bhāvinaḥ pārtthivendrān· bhūyo bhūyo yācate rāmabhadraḥ [|] sāmānyoya⟨ṁ⟩ dharmmase</w:t>
      </w:r>
      <w:r>
        <w:rPr>
          <w:rStyle w:val="ColorGray"/>
        </w:rPr>
        <w:t xml:space="preserve">⟨51⟩</w:t>
      </w:r>
      <w:r>
        <w:t xml:space="preserve">turnṛpāṇāṁ kāle kāle pālanīyo bhavadbhiḥ [∥] narendramṛgarājasya bhrāt</w:t>
      </w:r>
      <w:r>
        <w:rPr>
          <w:rStyle w:val="ColorRed"/>
        </w:rPr>
        <w:t xml:space="preserve">¿a?</w:t>
      </w:r>
      <w:r>
        <w:rPr>
          <w:rStyle w:val="ColorGreen"/>
        </w:rPr>
        <w:t xml:space="preserve">⟨ā⟩</w:t>
      </w:r>
      <w:r>
        <w:t xml:space="preserve"> </w:t>
      </w:r>
      <w:r>
        <w:t xml:space="preserve">haihayavaṁśajaḥ [|] Ājñapti</w:t>
      </w:r>
      <w:r>
        <w:rPr>
          <w:rStyle w:val="ColorGray"/>
        </w:rPr>
        <w:t xml:space="preserve">⟨52⟩</w:t>
      </w:r>
      <w:r>
        <w:t xml:space="preserve">rasya dharmmasya {r}nṛparudranṛipottama⟨ḥ⟩ ⟨∥⟩ vijayavādavāstavy</w:t>
      </w:r>
      <w:r>
        <w:rPr>
          <w:rStyle w:val="ColorRed"/>
        </w:rPr>
        <w:t xml:space="preserve">¿āya?</w:t>
      </w:r>
      <w:r>
        <w:rPr>
          <w:rStyle w:val="ColorGreen"/>
        </w:rPr>
        <w:t xml:space="preserve">⟨ena⟩</w:t>
      </w:r>
      <w:r>
        <w:t xml:space="preserve"> </w:t>
      </w:r>
      <w:r>
        <w:t xml:space="preserve">Akṣaralalitācāryyeṇa likhitaṁ [∥]</w:t>
      </w:r>
    </w:p>
    <w:p>
      <w:pPr>
        <w:pStyle w:val="BodyText"/>
      </w:pPr>
      <w:r>
        <w:rPr>
          <w:rStyle w:val="ColorGray"/>
        </w:rPr>
        <w:t xml:space="preserve">⟨Page 5v⟩</w:t>
      </w:r>
      <w:r>
        <w:rPr>
          <w:rStyle w:val="ColorGray"/>
        </w:rPr>
        <w:t xml:space="preserve"> </w:t>
      </w:r>
    </w:p>
    <w:p>
      <w:pPr>
        <w:pStyle w:val="Heading1"/>
      </w:pPr>
      <w:r>
        <w:t xml:space="preserve">Translation</w:t>
      </w:r>
    </w:p>
    <w:p>
      <w:pPr>
        <w:pStyle w:val="FirstParagraph"/>
      </w:pPr>
      <w:r>
        <w:t xml:space="preserve">Hail ! The grandson of the illustrious</w:t>
      </w:r>
      <w:r>
        <w:t xml:space="preserve"> </w:t>
      </w:r>
      <w:r>
        <w:rPr>
          <w:b/>
          <w:bCs/>
        </w:rPr>
        <w:t xml:space="preserve">Vijayāditya-mahārāja</w:t>
      </w:r>
      <w:r>
        <w:t xml:space="preserve">, who was adorned with a multitude of blameless and noble virtues, who had acquired the splendour of victory by his own arm in many warlike encounters, and who adorned the race of the glorious</w:t>
      </w:r>
      <w:r>
        <w:t xml:space="preserve"> </w:t>
      </w:r>
      <w:r>
        <w:rPr>
          <w:b/>
          <w:bCs/>
        </w:rPr>
        <w:t xml:space="preserve">Chaḷukyas</w:t>
      </w:r>
      <w:r>
        <w:t xml:space="preserve">, who belong to the</w:t>
      </w:r>
      <w:r>
        <w:t xml:space="preserve"> </w:t>
      </w:r>
      <w:r>
        <w:rPr>
          <w:i/>
          <w:iCs/>
        </w:rPr>
        <w:t xml:space="preserve">gotra</w:t>
      </w:r>
      <w:r>
        <w:t xml:space="preserve"> </w:t>
      </w:r>
      <w:r>
        <w:t xml:space="preserve">of the</w:t>
      </w:r>
      <w:r>
        <w:t xml:space="preserve"> </w:t>
      </w:r>
      <w:r>
        <w:rPr>
          <w:b/>
          <w:bCs/>
        </w:rPr>
        <w:t xml:space="preserve">Mānavyas</w:t>
      </w:r>
      <w:r>
        <w:t xml:space="preserve">, who are praised in the whole world; who are the sons of</w:t>
      </w:r>
      <w:r>
        <w:t xml:space="preserve"> </w:t>
      </w:r>
      <w:r>
        <w:rPr>
          <w:b/>
          <w:bCs/>
        </w:rPr>
        <w:t xml:space="preserve">Hāritī</w:t>
      </w:r>
      <w:r>
        <w:t xml:space="preserve">; who have acquired the kingdom by the favour of (</w:t>
      </w:r>
      <w:r>
        <w:rPr>
          <w:i/>
          <w:iCs/>
        </w:rPr>
        <w:t xml:space="preserve">Śiva</w:t>
      </w:r>
      <w:r>
        <w:t xml:space="preserve">) the husband of Kauśikī; who are protected by the assemblage of (</w:t>
      </w:r>
      <w:r>
        <w:rPr>
          <w:i/>
          <w:iCs/>
        </w:rPr>
        <w:t xml:space="preserve">divine</w:t>
      </w:r>
      <w:r>
        <w:t xml:space="preserve">) mothers; who are meditating at the feet of the lord Mahāsena (</w:t>
      </w:r>
      <w:r>
        <w:rPr>
          <w:i/>
          <w:iCs/>
        </w:rPr>
        <w:t xml:space="preserve">Skanda</w:t>
      </w:r>
      <w:r>
        <w:t xml:space="preserve">); who have subdued the territories of their enemies in an instant at the (</w:t>
      </w:r>
      <w:r>
        <w:rPr>
          <w:i/>
          <w:iCs/>
        </w:rPr>
        <w:t xml:space="preserve">mere</w:t>
      </w:r>
      <w:r>
        <w:t xml:space="preserve">) sight of the sign of the boar, a boon which they had obtained through the favour of the blessed Nārāyaṇa (</w:t>
      </w:r>
      <w:r>
        <w:rPr>
          <w:i/>
          <w:iCs/>
        </w:rPr>
        <w:t xml:space="preserve">Vishṇu</w:t>
      </w:r>
      <w:r>
        <w:t xml:space="preserve">); and whose bodies are purified by bathing at the end of horse-sacrifices;—</w:t>
      </w:r>
    </w:p>
    <w:p>
      <w:pPr>
        <w:pStyle w:val="BodyText"/>
      </w:pPr>
      <w:r>
        <w:t xml:space="preserve">The beloved son of</w:t>
      </w:r>
      <w:r>
        <w:t xml:space="preserve"> </w:t>
      </w:r>
      <w:r>
        <w:rPr>
          <w:b/>
          <w:bCs/>
        </w:rPr>
        <w:t xml:space="preserve">Vishṇuvardhana-mahārāja</w:t>
      </w:r>
      <w:r>
        <w:t xml:space="preserve">, who subdued the surrounding territories of his enemies with the edge of his flashing sword, who surpassed by his deeds Nṛiga, Nala, Nahusha, Ambarīsha and Yayāti, and who rejoiced in his sovereignty, just as Vishṇu in his discus;—</w:t>
      </w:r>
    </w:p>
    <w:p>
      <w:pPr>
        <w:pStyle w:val="BodyText"/>
      </w:pPr>
      <w:r>
        <w:t xml:space="preserve">He whose commands are cherished by the diadems of all vassals who bow affectionately to (</w:t>
      </w:r>
      <w:r>
        <w:rPr>
          <w:i/>
          <w:iCs/>
        </w:rPr>
        <w:t xml:space="preserve">his</w:t>
      </w:r>
      <w:r>
        <w:t xml:space="preserve">) majesty, who is a receptacle of the three powers</w:t>
      </w:r>
      <w:r>
        <w:rPr>
          <w:rStyle w:val="FootnoteReference"/>
        </w:rPr>
        <w:footnoteReference w:id="28"/>
      </w:r>
      <w:r>
        <w:t xml:space="preserve"> </w:t>
      </w:r>
      <w:r>
        <w:t xml:space="preserve">which are suitable to the warrior-caste, who is resplendent with the strength which he has acquired by victories in many battles,</w:t>
      </w:r>
      <w:r>
        <w:t xml:space="preserve"> </w:t>
      </w:r>
      <w:r>
        <w:rPr>
          <w:b/>
          <w:bCs/>
        </w:rPr>
        <w:t xml:space="preserve">Narendra-mṛigarāja</w:t>
      </w:r>
      <w:r>
        <w:t xml:space="preserve">, who has cut the temples of the elephants of his foes with the sword (</w:t>
      </w:r>
      <w:r>
        <w:rPr>
          <w:i/>
          <w:iCs/>
        </w:rPr>
        <w:t xml:space="preserve">that resembles</w:t>
      </w:r>
      <w:r>
        <w:t xml:space="preserve">) a claw</w:t>
      </w:r>
      <w:r>
        <w:rPr>
          <w:rStyle w:val="FootnoteReference"/>
        </w:rPr>
        <w:footnoteReference w:id="29"/>
      </w:r>
      <w:r>
        <w:t xml:space="preserve"> </w:t>
      </w:r>
      <w:r>
        <w:t xml:space="preserve">in his arm which is as fierce as Yama’s rod, who has subdued the six (</w:t>
      </w:r>
      <w:r>
        <w:rPr>
          <w:i/>
          <w:iCs/>
        </w:rPr>
        <w:t xml:space="preserve">internal</w:t>
      </w:r>
      <w:r>
        <w:t xml:space="preserve">) enemies,</w:t>
      </w:r>
      <w:r>
        <w:rPr>
          <w:rStyle w:val="FootnoteReference"/>
        </w:rPr>
        <w:footnoteReference w:id="30"/>
      </w:r>
      <w:r>
        <w:t xml:space="preserve"> </w:t>
      </w:r>
      <w:r>
        <w:t xml:space="preserve">who has acquired the four branches of royal science, who knows how to employ the four expedients,</w:t>
      </w:r>
      <w:r>
        <w:rPr>
          <w:rStyle w:val="FootnoteReference"/>
        </w:rPr>
        <w:footnoteReference w:id="31"/>
      </w:r>
      <w:r>
        <w:t xml:space="preserve"> </w:t>
      </w:r>
      <w:r>
        <w:t xml:space="preserve">who chastises the wicked and shows favour to the good, who has conquered the world by his valour, just as (</w:t>
      </w:r>
      <w:r>
        <w:rPr>
          <w:i/>
          <w:iCs/>
        </w:rPr>
        <w:t xml:space="preserve">Vishṇu</w:t>
      </w:r>
      <w:r>
        <w:t xml:space="preserve">) the destroyer of Madhu by his (</w:t>
      </w:r>
      <w:r>
        <w:rPr>
          <w:i/>
          <w:iCs/>
        </w:rPr>
        <w:t xml:space="preserve">three</w:t>
      </w:r>
      <w:r>
        <w:t xml:space="preserve">) stops, who is assisted by terrible and splendid courage, just as Yudhishṭhira was assisted by the courage of Bhīma and Arjuna, who, just as (</w:t>
      </w:r>
      <w:r>
        <w:rPr>
          <w:i/>
          <w:iCs/>
        </w:rPr>
        <w:t xml:space="preserve">Rāma</w:t>
      </w:r>
      <w:r>
        <w:t xml:space="preserve">) the son of Daśaratha, gives pleasure to Sītā,</w:t>
      </w:r>
      <w:r>
        <w:rPr>
          <w:rStyle w:val="FootnoteReference"/>
        </w:rPr>
        <w:footnoteReference w:id="32"/>
      </w:r>
      <w:r>
        <w:t xml:space="preserve"> </w:t>
      </w:r>
      <w:r>
        <w:t xml:space="preserve">who knows the right course, just as Manu, who disperses the crowd of his foes, just as the sun disperses the mass of darkness in a lotus-group,</w:t>
      </w:r>
      <w:r>
        <w:rPr>
          <w:rStyle w:val="FootnoteReference"/>
        </w:rPr>
        <w:footnoteReference w:id="33"/>
      </w:r>
      <w:r>
        <w:t xml:space="preserve"> </w:t>
      </w:r>
      <w:r>
        <w:t xml:space="preserve">the most pious one, the devout worshipper of Maheśvara (</w:t>
      </w:r>
      <w:r>
        <w:rPr>
          <w:i/>
          <w:iCs/>
        </w:rPr>
        <w:t xml:space="preserve">Śiva</w:t>
      </w:r>
      <w:r>
        <w:t xml:space="preserve">), the asylum of the whole world, the illustrious</w:t>
      </w:r>
      <w:r>
        <w:t xml:space="preserve"> </w:t>
      </w:r>
      <w:r>
        <w:rPr>
          <w:b/>
          <w:bCs/>
        </w:rPr>
        <w:t xml:space="preserve">Vijayāditya</w:t>
      </w:r>
      <w:r>
        <w:t xml:space="preserve">, the king of great kings, the supreme master, the lord, thus issues his commands to all householders, (</w:t>
      </w:r>
      <w:r>
        <w:rPr>
          <w:i/>
          <w:iCs/>
        </w:rPr>
        <w:t xml:space="preserve">viz.</w:t>
      </w:r>
      <w:r>
        <w:t xml:space="preserve">) heads of provinces,</w:t>
      </w:r>
      <w:r>
        <w:t xml:space="preserve"> </w:t>
      </w:r>
      <w:r>
        <w:rPr>
          <w:i/>
          <w:iCs/>
        </w:rPr>
        <w:t xml:space="preserve">etc.</w:t>
      </w:r>
      <w:r>
        <w:t xml:space="preserve">, who inhabit the district of . . . . .</w:t>
      </w:r>
    </w:p>
    <w:p>
      <w:pPr>
        <w:pStyle w:val="BodyText"/>
      </w:pPr>
      <w:r>
        <w:t xml:space="preserve">(</w:t>
      </w:r>
      <w:r>
        <w:rPr>
          <w:i/>
          <w:iCs/>
        </w:rPr>
        <w:t xml:space="preserve">Line</w:t>
      </w:r>
      <w:r>
        <w:t xml:space="preserve"> </w:t>
      </w:r>
      <w:r>
        <w:t xml:space="preserve">17.) “Be it known to you, (</w:t>
      </w:r>
      <w:r>
        <w:rPr>
          <w:i/>
          <w:iCs/>
        </w:rPr>
        <w:t xml:space="preserve">that I</w:t>
      </w:r>
      <w:r>
        <w:t xml:space="preserve">) gave on the occasion of a lunar eclipse, with a libation of water, the village called</w:t>
      </w:r>
      <w:r>
        <w:t xml:space="preserve"> </w:t>
      </w:r>
      <w:r>
        <w:rPr>
          <w:b/>
          <w:bCs/>
        </w:rPr>
        <w:t xml:space="preserve">Koṟṟapaṟṟu</w:t>
      </w:r>
      <w:r>
        <w:t xml:space="preserve">, making (</w:t>
      </w:r>
      <w:r>
        <w:rPr>
          <w:i/>
          <w:iCs/>
        </w:rPr>
        <w:t xml:space="preserve">it</w:t>
      </w:r>
      <w:r>
        <w:t xml:space="preserve">) exempt from all taxes, to (</w:t>
      </w:r>
      <w:r>
        <w:rPr>
          <w:i/>
          <w:iCs/>
        </w:rPr>
        <w:t xml:space="preserve">the following</w:t>
      </w:r>
      <w:r>
        <w:t xml:space="preserve">) twenty-four brāhmaṇas, who are engaged in (</w:t>
      </w:r>
      <w:r>
        <w:rPr>
          <w:i/>
          <w:iCs/>
        </w:rPr>
        <w:t xml:space="preserve">the study of</w:t>
      </w:r>
      <w:r>
        <w:t xml:space="preserve">) the</w:t>
      </w:r>
      <w:r>
        <w:t xml:space="preserve"> </w:t>
      </w:r>
      <w:r>
        <w:rPr>
          <w:i/>
          <w:iCs/>
        </w:rPr>
        <w:t xml:space="preserve">Vedas</w:t>
      </w:r>
      <w:r>
        <w:t xml:space="preserve"> </w:t>
      </w:r>
      <w:r>
        <w:t xml:space="preserve">and</w:t>
      </w:r>
      <w:r>
        <w:t xml:space="preserve"> </w:t>
      </w:r>
      <w:r>
        <w:rPr>
          <w:i/>
          <w:iCs/>
        </w:rPr>
        <w:t xml:space="preserve">Vedāṅgas</w:t>
      </w:r>
      <w:r>
        <w:t xml:space="preserve"> </w:t>
      </w:r>
      <w:r>
        <w:t xml:space="preserve">and intent on (</w:t>
      </w:r>
      <w:r>
        <w:rPr>
          <w:i/>
          <w:iCs/>
        </w:rPr>
        <w:t xml:space="preserve">the performance of</w:t>
      </w:r>
      <w:r>
        <w:t xml:space="preserve">) the six duties, (</w:t>
      </w:r>
      <w:r>
        <w:rPr>
          <w:i/>
          <w:iCs/>
        </w:rPr>
        <w:t xml:space="preserve">viz.</w:t>
      </w:r>
      <w:r>
        <w:t xml:space="preserve">) to</w:t>
      </w:r>
      <w:r>
        <w:t xml:space="preserve"> </w:t>
      </w:r>
      <w:r>
        <w:rPr>
          <w:b/>
          <w:bCs/>
        </w:rPr>
        <w:t xml:space="preserve">Veṇama-śarman</w:t>
      </w:r>
      <w:r>
        <w:t xml:space="preserve">, who dwells at</w:t>
      </w:r>
      <w:r>
        <w:t xml:space="preserve"> </w:t>
      </w:r>
      <w:r>
        <w:rPr>
          <w:b/>
          <w:bCs/>
        </w:rPr>
        <w:t xml:space="preserve">Abhipendaṇḍuru</w:t>
      </w:r>
      <w:r>
        <w:t xml:space="preserve">, belongs to the</w:t>
      </w:r>
      <w:r>
        <w:t xml:space="preserve"> </w:t>
      </w:r>
      <w:r>
        <w:rPr>
          <w:b/>
          <w:bCs/>
        </w:rPr>
        <w:t xml:space="preserve">Kauśika-gotra</w:t>
      </w:r>
      <w:r>
        <w:t xml:space="preserve">, follows the</w:t>
      </w:r>
      <w:r>
        <w:t xml:space="preserve"> </w:t>
      </w:r>
      <w:r>
        <w:rPr>
          <w:i/>
          <w:iCs/>
        </w:rPr>
        <w:t xml:space="preserve">Hiraṇyakeśi-sūtra</w:t>
      </w:r>
      <w:r>
        <w:t xml:space="preserve"> </w:t>
      </w:r>
      <w:r>
        <w:t xml:space="preserve">and is well versed in the</w:t>
      </w:r>
      <w:r>
        <w:t xml:space="preserve"> </w:t>
      </w:r>
      <w:r>
        <w:rPr>
          <w:i/>
          <w:iCs/>
        </w:rPr>
        <w:t xml:space="preserve">Vedas</w:t>
      </w:r>
      <w:r>
        <w:t xml:space="preserve"> </w:t>
      </w:r>
      <w:r>
        <w:t xml:space="preserve">and</w:t>
      </w:r>
      <w:r>
        <w:t xml:space="preserve"> </w:t>
      </w:r>
      <w:r>
        <w:rPr>
          <w:i/>
          <w:iCs/>
        </w:rPr>
        <w:t xml:space="preserve">Vedāṅgas</w:t>
      </w:r>
      <w:r>
        <w:t xml:space="preserve">; to</w:t>
      </w:r>
      <w:r>
        <w:t xml:space="preserve"> </w:t>
      </w:r>
      <w:r>
        <w:rPr>
          <w:b/>
          <w:bCs/>
        </w:rPr>
        <w:t xml:space="preserve">Chaṭi-śarman</w:t>
      </w:r>
      <w:r>
        <w:t xml:space="preserve">, who dwells at</w:t>
      </w:r>
      <w:r>
        <w:t xml:space="preserve"> </w:t>
      </w:r>
      <w:r>
        <w:rPr>
          <w:b/>
          <w:bCs/>
        </w:rPr>
        <w:t xml:space="preserve">Nalūcheri</w:t>
      </w:r>
      <w:r>
        <w:t xml:space="preserve">, belongs to the</w:t>
      </w:r>
      <w:r>
        <w:t xml:space="preserve"> </w:t>
      </w:r>
      <w:r>
        <w:rPr>
          <w:b/>
          <w:bCs/>
        </w:rPr>
        <w:t xml:space="preserve">Kauśika-gotra</w:t>
      </w:r>
      <w:r>
        <w:t xml:space="preserve"> </w:t>
      </w:r>
      <w:r>
        <w:t xml:space="preserve">and follows the</w:t>
      </w:r>
      <w:r>
        <w:t xml:space="preserve"> </w:t>
      </w:r>
      <w:r>
        <w:rPr>
          <w:i/>
          <w:iCs/>
        </w:rPr>
        <w:t xml:space="preserve">Hiraṇyakeśi-sūtra</w:t>
      </w:r>
      <w:r>
        <w:t xml:space="preserve">; to</w:t>
      </w:r>
      <w:r>
        <w:t xml:space="preserve"> </w:t>
      </w:r>
      <w:r>
        <w:rPr>
          <w:b/>
          <w:bCs/>
        </w:rPr>
        <w:t xml:space="preserve">Vida-śarman</w:t>
      </w:r>
      <w:r>
        <w:t xml:space="preserve">, who dwells at</w:t>
      </w:r>
      <w:r>
        <w:t xml:space="preserve"> </w:t>
      </w:r>
      <w:r>
        <w:rPr>
          <w:b/>
          <w:bCs/>
        </w:rPr>
        <w:t xml:space="preserve">Podeṅgu</w:t>
      </w:r>
      <w:r>
        <w:t xml:space="preserve">, belongs to the</w:t>
      </w:r>
      <w:r>
        <w:t xml:space="preserve"> </w:t>
      </w:r>
      <w:r>
        <w:rPr>
          <w:b/>
          <w:bCs/>
        </w:rPr>
        <w:t xml:space="preserve">Gautama-gotra</w:t>
      </w:r>
      <w:r>
        <w:t xml:space="preserve"> </w:t>
      </w:r>
      <w:r>
        <w:t xml:space="preserve">and follows the</w:t>
      </w:r>
      <w:r>
        <w:t xml:space="preserve"> </w:t>
      </w:r>
      <w:r>
        <w:rPr>
          <w:i/>
          <w:iCs/>
        </w:rPr>
        <w:t xml:space="preserve">Hiraṇyakeśi-sūtra</w:t>
      </w:r>
      <w:r>
        <w:t xml:space="preserve">; to</w:t>
      </w:r>
      <w:r>
        <w:t xml:space="preserve"> </w:t>
      </w:r>
      <w:r>
        <w:rPr>
          <w:b/>
          <w:bCs/>
        </w:rPr>
        <w:t xml:space="preserve">Maviṇḍi-śarman</w:t>
      </w:r>
      <w:r>
        <w:t xml:space="preserve">, who dwells at</w:t>
      </w:r>
      <w:r>
        <w:t xml:space="preserve"> </w:t>
      </w:r>
      <w:r>
        <w:rPr>
          <w:b/>
          <w:bCs/>
        </w:rPr>
        <w:t xml:space="preserve">Podaṅgu</w:t>
      </w:r>
      <w:r>
        <w:t xml:space="preserve">,</w:t>
      </w:r>
      <w:r>
        <w:rPr>
          <w:rStyle w:val="FootnoteReference"/>
        </w:rPr>
        <w:footnoteReference w:id="34"/>
      </w:r>
      <w:r>
        <w:t xml:space="preserve"> </w:t>
      </w:r>
      <w:r>
        <w:t xml:space="preserve">belongs to the</w:t>
      </w:r>
      <w:r>
        <w:t xml:space="preserve"> </w:t>
      </w:r>
      <w:r>
        <w:rPr>
          <w:b/>
          <w:bCs/>
        </w:rPr>
        <w:t xml:space="preserve">Saṁkṛiti-gotra</w:t>
      </w:r>
      <w:r>
        <w:t xml:space="preserve"> </w:t>
      </w:r>
      <w:r>
        <w:t xml:space="preserve">and follows the</w:t>
      </w:r>
      <w:r>
        <w:t xml:space="preserve"> </w:t>
      </w:r>
      <w:r>
        <w:rPr>
          <w:i/>
          <w:iCs/>
        </w:rPr>
        <w:t xml:space="preserve">Hiraṇyakeśi-sūtra</w:t>
      </w:r>
      <w:r>
        <w:t xml:space="preserve">; to</w:t>
      </w:r>
      <w:r>
        <w:t xml:space="preserve"> </w:t>
      </w:r>
      <w:r>
        <w:rPr>
          <w:b/>
          <w:bCs/>
        </w:rPr>
        <w:t xml:space="preserve">Yājña-śarman</w:t>
      </w:r>
      <w:r>
        <w:t xml:space="preserve">, who dwells at</w:t>
      </w:r>
      <w:r>
        <w:t xml:space="preserve"> </w:t>
      </w:r>
      <w:r>
        <w:rPr>
          <w:b/>
          <w:bCs/>
        </w:rPr>
        <w:t xml:space="preserve">Podeṅgu</w:t>
      </w:r>
      <w:r>
        <w:t xml:space="preserve">, belongs to the</w:t>
      </w:r>
      <w:r>
        <w:t xml:space="preserve"> </w:t>
      </w:r>
      <w:r>
        <w:rPr>
          <w:b/>
          <w:bCs/>
        </w:rPr>
        <w:t xml:space="preserve">Harita-gotra</w:t>
      </w:r>
      <w:r>
        <w:t xml:space="preserve"> </w:t>
      </w:r>
      <w:r>
        <w:t xml:space="preserve">and follows the</w:t>
      </w:r>
      <w:r>
        <w:t xml:space="preserve"> </w:t>
      </w:r>
      <w:r>
        <w:rPr>
          <w:i/>
          <w:iCs/>
        </w:rPr>
        <w:t xml:space="preserve">Hiraṇyakeśi-sūtra</w:t>
      </w:r>
      <w:r>
        <w:t xml:space="preserve">; to . .</w:t>
      </w:r>
      <w:r>
        <w:t xml:space="preserve"> </w:t>
      </w:r>
      <w:r>
        <w:rPr>
          <w:b/>
          <w:bCs/>
        </w:rPr>
        <w:t xml:space="preserve">śarman</w:t>
      </w:r>
      <w:r>
        <w:t xml:space="preserve">, who dwells at</w:t>
      </w:r>
      <w:r>
        <w:t xml:space="preserve"> </w:t>
      </w:r>
      <w:r>
        <w:rPr>
          <w:b/>
          <w:bCs/>
        </w:rPr>
        <w:t xml:space="preserve">Podeṅgu</w:t>
      </w:r>
      <w:r>
        <w:t xml:space="preserve">, belongs to the</w:t>
      </w:r>
      <w:r>
        <w:t xml:space="preserve"> </w:t>
      </w:r>
      <w:r>
        <w:rPr>
          <w:b/>
          <w:bCs/>
        </w:rPr>
        <w:t xml:space="preserve">Saṁkṛiti-gotra</w:t>
      </w:r>
      <w:r>
        <w:t xml:space="preserve"> </w:t>
      </w:r>
      <w:r>
        <w:t xml:space="preserve">and follows the</w:t>
      </w:r>
      <w:r>
        <w:t xml:space="preserve"> </w:t>
      </w:r>
      <w:r>
        <w:rPr>
          <w:i/>
          <w:iCs/>
        </w:rPr>
        <w:t xml:space="preserve">Hiraṇyakeśi-sūtra</w:t>
      </w:r>
      <w:r>
        <w:t xml:space="preserve">; to</w:t>
      </w:r>
      <w:r>
        <w:t xml:space="preserve"> </w:t>
      </w:r>
      <w:r>
        <w:rPr>
          <w:b/>
          <w:bCs/>
        </w:rPr>
        <w:t xml:space="preserve">Kāma-śarman</w:t>
      </w:r>
      <w:r>
        <w:t xml:space="preserve">, who dwells at</w:t>
      </w:r>
      <w:r>
        <w:t xml:space="preserve"> </w:t>
      </w:r>
      <w:r>
        <w:rPr>
          <w:b/>
          <w:bCs/>
        </w:rPr>
        <w:t xml:space="preserve">Krovāśiri</w:t>
      </w:r>
      <w:r>
        <w:t xml:space="preserve">,</w:t>
      </w:r>
      <w:r>
        <w:rPr>
          <w:rStyle w:val="FootnoteReference"/>
        </w:rPr>
        <w:footnoteReference w:id="35"/>
      </w:r>
      <w:r>
        <w:t xml:space="preserve"> </w:t>
      </w:r>
      <w:r>
        <w:t xml:space="preserve">belongs to the</w:t>
      </w:r>
      <w:r>
        <w:t xml:space="preserve"> </w:t>
      </w:r>
      <w:r>
        <w:rPr>
          <w:b/>
          <w:bCs/>
        </w:rPr>
        <w:t xml:space="preserve">Harita-gotra</w:t>
      </w:r>
      <w:r>
        <w:t xml:space="preserve"> </w:t>
      </w:r>
      <w:r>
        <w:t xml:space="preserve">and follows the</w:t>
      </w:r>
      <w:r>
        <w:t xml:space="preserve"> </w:t>
      </w:r>
      <w:r>
        <w:rPr>
          <w:i/>
          <w:iCs/>
        </w:rPr>
        <w:t xml:space="preserve">Apastamba-sūtra</w:t>
      </w:r>
      <w:r>
        <w:t xml:space="preserve">; to</w:t>
      </w:r>
      <w:r>
        <w:t xml:space="preserve"> </w:t>
      </w:r>
      <w:r>
        <w:rPr>
          <w:b/>
          <w:bCs/>
        </w:rPr>
        <w:t xml:space="preserve">Vishṇu-śarman</w:t>
      </w:r>
      <w:r>
        <w:t xml:space="preserve">, who dwells at</w:t>
      </w:r>
      <w:r>
        <w:t xml:space="preserve"> </w:t>
      </w:r>
      <w:r>
        <w:rPr>
          <w:b/>
          <w:bCs/>
        </w:rPr>
        <w:t xml:space="preserve">Urpuṭūru</w:t>
      </w:r>
      <w:r>
        <w:t xml:space="preserve">, belongs to the</w:t>
      </w:r>
      <w:r>
        <w:t xml:space="preserve"> </w:t>
      </w:r>
      <w:r>
        <w:rPr>
          <w:b/>
          <w:bCs/>
        </w:rPr>
        <w:t xml:space="preserve">Bhāradvāja-gotra</w:t>
      </w:r>
      <w:r>
        <w:t xml:space="preserve"> </w:t>
      </w:r>
      <w:r>
        <w:t xml:space="preserve">and follows the</w:t>
      </w:r>
      <w:r>
        <w:t xml:space="preserve"> </w:t>
      </w:r>
      <w:r>
        <w:rPr>
          <w:i/>
          <w:iCs/>
        </w:rPr>
        <w:t xml:space="preserve">Apastamba-sūtra</w:t>
      </w:r>
      <w:r>
        <w:t xml:space="preserve">; to</w:t>
      </w:r>
      <w:r>
        <w:t xml:space="preserve"> </w:t>
      </w:r>
      <w:r>
        <w:rPr>
          <w:b/>
          <w:bCs/>
        </w:rPr>
        <w:t xml:space="preserve">Guñjadeva-śarman</w:t>
      </w:r>
      <w:r>
        <w:t xml:space="preserve">, who dwells at</w:t>
      </w:r>
      <w:r>
        <w:t xml:space="preserve"> </w:t>
      </w:r>
      <w:r>
        <w:rPr>
          <w:b/>
          <w:bCs/>
        </w:rPr>
        <w:t xml:space="preserve">Vaṅgipaṟṟu</w:t>
      </w:r>
      <w:r>
        <w:t xml:space="preserve">, belongs to the</w:t>
      </w:r>
      <w:r>
        <w:t xml:space="preserve"> </w:t>
      </w:r>
      <w:r>
        <w:rPr>
          <w:b/>
          <w:bCs/>
        </w:rPr>
        <w:t xml:space="preserve">Kauṇḍinya-gotra</w:t>
      </w:r>
      <w:r>
        <w:t xml:space="preserve"> </w:t>
      </w:r>
      <w:r>
        <w:t xml:space="preserve">and follows the</w:t>
      </w:r>
      <w:r>
        <w:t xml:space="preserve"> </w:t>
      </w:r>
      <w:r>
        <w:rPr>
          <w:i/>
          <w:iCs/>
        </w:rPr>
        <w:t xml:space="preserve">Apastamba-sūtra</w:t>
      </w:r>
      <w:r>
        <w:t xml:space="preserve">; to</w:t>
      </w:r>
      <w:r>
        <w:t xml:space="preserve"> </w:t>
      </w:r>
      <w:r>
        <w:rPr>
          <w:b/>
          <w:bCs/>
        </w:rPr>
        <w:t xml:space="preserve">Bhadra-śarman</w:t>
      </w:r>
      <w:r>
        <w:t xml:space="preserve">, who dwells at</w:t>
      </w:r>
      <w:r>
        <w:t xml:space="preserve"> </w:t>
      </w:r>
      <w:r>
        <w:rPr>
          <w:b/>
          <w:bCs/>
        </w:rPr>
        <w:t xml:space="preserve">Vaṅgipaṟṟu</w:t>
      </w:r>
      <w:r>
        <w:t xml:space="preserve">, belongs to the</w:t>
      </w:r>
      <w:r>
        <w:t xml:space="preserve"> </w:t>
      </w:r>
      <w:r>
        <w:rPr>
          <w:b/>
          <w:bCs/>
        </w:rPr>
        <w:t xml:space="preserve">Śāṇḍilya-gotra</w:t>
      </w:r>
      <w:r>
        <w:t xml:space="preserve"> </w:t>
      </w:r>
      <w:r>
        <w:t xml:space="preserve">and follows the</w:t>
      </w:r>
      <w:r>
        <w:t xml:space="preserve"> </w:t>
      </w:r>
      <w:r>
        <w:rPr>
          <w:i/>
          <w:iCs/>
        </w:rPr>
        <w:t xml:space="preserve">Apastamba-sūtra</w:t>
      </w:r>
      <w:r>
        <w:t xml:space="preserve">; to</w:t>
      </w:r>
      <w:r>
        <w:t xml:space="preserve"> </w:t>
      </w:r>
      <w:r>
        <w:rPr>
          <w:b/>
          <w:bCs/>
        </w:rPr>
        <w:t xml:space="preserve">Vishṇu-śarman</w:t>
      </w:r>
      <w:r>
        <w:t xml:space="preserve">, who dwells at</w:t>
      </w:r>
      <w:r>
        <w:t xml:space="preserve"> </w:t>
      </w:r>
      <w:r>
        <w:rPr>
          <w:b/>
          <w:bCs/>
        </w:rPr>
        <w:t xml:space="preserve">Vaṅgipaṟṟu</w:t>
      </w:r>
      <w:r>
        <w:t xml:space="preserve"> </w:t>
      </w:r>
      <w:r>
        <w:t xml:space="preserve">, belongs to the</w:t>
      </w:r>
      <w:r>
        <w:t xml:space="preserve"> </w:t>
      </w:r>
      <w:r>
        <w:rPr>
          <w:b/>
          <w:bCs/>
        </w:rPr>
        <w:t xml:space="preserve">Kauṇḍinya-gotra</w:t>
      </w:r>
      <w:r>
        <w:t xml:space="preserve"> </w:t>
      </w:r>
      <w:r>
        <w:t xml:space="preserve">and follows the</w:t>
      </w:r>
      <w:r>
        <w:t xml:space="preserve"> </w:t>
      </w:r>
      <w:r>
        <w:rPr>
          <w:i/>
          <w:iCs/>
        </w:rPr>
        <w:t xml:space="preserve">Apastamba-sūtra</w:t>
      </w:r>
      <w:r>
        <w:t xml:space="preserve">; to</w:t>
      </w:r>
      <w:r>
        <w:t xml:space="preserve"> </w:t>
      </w:r>
      <w:r>
        <w:rPr>
          <w:b/>
          <w:bCs/>
        </w:rPr>
        <w:t xml:space="preserve">Nārāyaṇa-śarman</w:t>
      </w:r>
      <w:r>
        <w:t xml:space="preserve">, who dwells at</w:t>
      </w:r>
      <w:r>
        <w:t xml:space="preserve"> </w:t>
      </w:r>
      <w:r>
        <w:rPr>
          <w:b/>
          <w:bCs/>
        </w:rPr>
        <w:t xml:space="preserve">Vaṅgipaṟṟu</w:t>
      </w:r>
      <w:r>
        <w:t xml:space="preserve">, belongs to the</w:t>
      </w:r>
      <w:r>
        <w:t xml:space="preserve"> </w:t>
      </w:r>
      <w:r>
        <w:rPr>
          <w:b/>
          <w:bCs/>
        </w:rPr>
        <w:t xml:space="preserve">Kauṇḍinya-gotra</w:t>
      </w:r>
      <w:r>
        <w:t xml:space="preserve"> </w:t>
      </w:r>
      <w:r>
        <w:t xml:space="preserve">and follows the</w:t>
      </w:r>
      <w:r>
        <w:t xml:space="preserve"> </w:t>
      </w:r>
      <w:r>
        <w:rPr>
          <w:i/>
          <w:iCs/>
        </w:rPr>
        <w:t xml:space="preserve">Apastamba-sūtra</w:t>
      </w:r>
      <w:r>
        <w:t xml:space="preserve">; to</w:t>
      </w:r>
      <w:r>
        <w:t xml:space="preserve"> </w:t>
      </w:r>
      <w:r>
        <w:rPr>
          <w:b/>
          <w:bCs/>
        </w:rPr>
        <w:t xml:space="preserve">Droṇa-śarman</w:t>
      </w:r>
      <w:r>
        <w:t xml:space="preserve">, who dwells at</w:t>
      </w:r>
      <w:r>
        <w:t xml:space="preserve"> </w:t>
      </w:r>
      <w:r>
        <w:rPr>
          <w:b/>
          <w:bCs/>
        </w:rPr>
        <w:t xml:space="preserve">Chānturu</w:t>
      </w:r>
      <w:r>
        <w:t xml:space="preserve">, belongs to the</w:t>
      </w:r>
      <w:r>
        <w:t xml:space="preserve"> </w:t>
      </w:r>
      <w:r>
        <w:rPr>
          <w:b/>
          <w:bCs/>
        </w:rPr>
        <w:t xml:space="preserve">Bhāradvāja-gotra</w:t>
      </w:r>
      <w:r>
        <w:t xml:space="preserve"> </w:t>
      </w:r>
      <w:r>
        <w:t xml:space="preserve">and follows the</w:t>
      </w:r>
      <w:r>
        <w:t xml:space="preserve"> </w:t>
      </w:r>
      <w:r>
        <w:rPr>
          <w:i/>
          <w:iCs/>
        </w:rPr>
        <w:t xml:space="preserve">Apastamba-sūtra</w:t>
      </w:r>
      <w:r>
        <w:t xml:space="preserve">; to</w:t>
      </w:r>
      <w:r>
        <w:t xml:space="preserve"> </w:t>
      </w:r>
      <w:r>
        <w:rPr>
          <w:b/>
          <w:bCs/>
        </w:rPr>
        <w:t xml:space="preserve">Nārāyaṇa-śarman</w:t>
      </w:r>
      <w:r>
        <w:t xml:space="preserve">, who dwells at</w:t>
      </w:r>
      <w:r>
        <w:t xml:space="preserve"> </w:t>
      </w:r>
      <w:r>
        <w:rPr>
          <w:b/>
          <w:bCs/>
        </w:rPr>
        <w:t xml:space="preserve">Chānturu</w:t>
      </w:r>
      <w:r>
        <w:t xml:space="preserve">, belongs to the</w:t>
      </w:r>
      <w:r>
        <w:t xml:space="preserve"> </w:t>
      </w:r>
      <w:r>
        <w:rPr>
          <w:b/>
          <w:bCs/>
        </w:rPr>
        <w:t xml:space="preserve">Bhāradvāja-gotra</w:t>
      </w:r>
      <w:r>
        <w:t xml:space="preserve"> </w:t>
      </w:r>
      <w:r>
        <w:t xml:space="preserve">and follows the</w:t>
      </w:r>
      <w:r>
        <w:t xml:space="preserve"> </w:t>
      </w:r>
      <w:r>
        <w:rPr>
          <w:i/>
          <w:iCs/>
        </w:rPr>
        <w:t xml:space="preserve">Āpastamba-sūtra</w:t>
      </w:r>
      <w:r>
        <w:t xml:space="preserve">; to</w:t>
      </w:r>
      <w:r>
        <w:t xml:space="preserve"> </w:t>
      </w:r>
      <w:r>
        <w:rPr>
          <w:b/>
          <w:bCs/>
        </w:rPr>
        <w:t xml:space="preserve">Mādhava-śarman</w:t>
      </w:r>
      <w:r>
        <w:t xml:space="preserve">, who dwells at</w:t>
      </w:r>
      <w:r>
        <w:t xml:space="preserve"> </w:t>
      </w:r>
      <w:r>
        <w:rPr>
          <w:b/>
          <w:bCs/>
        </w:rPr>
        <w:t xml:space="preserve">Krovaśiri</w:t>
      </w:r>
      <w:r>
        <w:t xml:space="preserve">, belongs to the</w:t>
      </w:r>
      <w:r>
        <w:t xml:space="preserve"> </w:t>
      </w:r>
      <w:r>
        <w:rPr>
          <w:b/>
          <w:bCs/>
        </w:rPr>
        <w:t xml:space="preserve">Harita-gotra</w:t>
      </w:r>
      <w:r>
        <w:t xml:space="preserve"> </w:t>
      </w:r>
      <w:r>
        <w:t xml:space="preserve">and follows the</w:t>
      </w:r>
      <w:r>
        <w:t xml:space="preserve"> </w:t>
      </w:r>
      <w:r>
        <w:rPr>
          <w:i/>
          <w:iCs/>
        </w:rPr>
        <w:t xml:space="preserve">Āpastamba-sūtra</w:t>
      </w:r>
      <w:r>
        <w:t xml:space="preserve">; to</w:t>
      </w:r>
      <w:r>
        <w:t xml:space="preserve"> </w:t>
      </w:r>
      <w:r>
        <w:rPr>
          <w:b/>
          <w:bCs/>
        </w:rPr>
        <w:t xml:space="preserve">Vennama-śarman</w:t>
      </w:r>
      <w:r>
        <w:t xml:space="preserve">, who dwells at</w:t>
      </w:r>
      <w:r>
        <w:t xml:space="preserve"> </w:t>
      </w:r>
      <w:r>
        <w:rPr>
          <w:b/>
          <w:bCs/>
        </w:rPr>
        <w:t xml:space="preserve">Krovaśiri</w:t>
      </w:r>
      <w:r>
        <w:t xml:space="preserve">, belongs to the</w:t>
      </w:r>
      <w:r>
        <w:t xml:space="preserve"> </w:t>
      </w:r>
      <w:r>
        <w:rPr>
          <w:b/>
          <w:bCs/>
        </w:rPr>
        <w:t xml:space="preserve">Parāśara-gotra</w:t>
      </w:r>
      <w:r>
        <w:t xml:space="preserve"> </w:t>
      </w:r>
      <w:r>
        <w:t xml:space="preserve">and follows the</w:t>
      </w:r>
      <w:r>
        <w:t xml:space="preserve"> </w:t>
      </w:r>
      <w:r>
        <w:rPr>
          <w:i/>
          <w:iCs/>
        </w:rPr>
        <w:t xml:space="preserve">Apastamba-sūtra</w:t>
      </w:r>
      <w:r>
        <w:t xml:space="preserve">; to</w:t>
      </w:r>
      <w:r>
        <w:t xml:space="preserve"> </w:t>
      </w:r>
      <w:r>
        <w:rPr>
          <w:b/>
          <w:bCs/>
        </w:rPr>
        <w:t xml:space="preserve">Arudi-śarman</w:t>
      </w:r>
      <w:r>
        <w:t xml:space="preserve">, who dwells at</w:t>
      </w:r>
      <w:r>
        <w:t xml:space="preserve"> </w:t>
      </w:r>
      <w:r>
        <w:rPr>
          <w:b/>
          <w:bCs/>
        </w:rPr>
        <w:t xml:space="preserve">Krovaśiri</w:t>
      </w:r>
      <w:r>
        <w:t xml:space="preserve">, belongs to the</w:t>
      </w:r>
      <w:r>
        <w:t xml:space="preserve"> </w:t>
      </w:r>
      <w:r>
        <w:rPr>
          <w:b/>
          <w:bCs/>
        </w:rPr>
        <w:t xml:space="preserve">Vatsa-gotra</w:t>
      </w:r>
      <w:r>
        <w:t xml:space="preserve"> </w:t>
      </w:r>
      <w:r>
        <w:t xml:space="preserve">and follows the</w:t>
      </w:r>
      <w:r>
        <w:t xml:space="preserve"> </w:t>
      </w:r>
      <w:r>
        <w:rPr>
          <w:i/>
          <w:iCs/>
        </w:rPr>
        <w:t xml:space="preserve">Apastamba-sūtra</w:t>
      </w:r>
      <w:r>
        <w:t xml:space="preserve">; to</w:t>
      </w:r>
      <w:r>
        <w:t xml:space="preserve"> </w:t>
      </w:r>
      <w:r>
        <w:rPr>
          <w:b/>
          <w:bCs/>
        </w:rPr>
        <w:t xml:space="preserve">Nandi-śarman</w:t>
      </w:r>
      <w:r>
        <w:t xml:space="preserve">, who dwells at</w:t>
      </w:r>
      <w:r>
        <w:t xml:space="preserve"> </w:t>
      </w:r>
      <w:r>
        <w:rPr>
          <w:b/>
          <w:bCs/>
        </w:rPr>
        <w:t xml:space="preserve">Urpuṭūru</w:t>
      </w:r>
      <w:r>
        <w:t xml:space="preserve">, belongs to the</w:t>
      </w:r>
      <w:r>
        <w:t xml:space="preserve"> </w:t>
      </w:r>
      <w:r>
        <w:rPr>
          <w:b/>
          <w:bCs/>
        </w:rPr>
        <w:t xml:space="preserve">Bhāradvāja-gotra</w:t>
      </w:r>
      <w:r>
        <w:t xml:space="preserve"> </w:t>
      </w:r>
      <w:r>
        <w:t xml:space="preserve">and follows the</w:t>
      </w:r>
      <w:r>
        <w:t xml:space="preserve"> </w:t>
      </w:r>
      <w:r>
        <w:rPr>
          <w:i/>
          <w:iCs/>
        </w:rPr>
        <w:t xml:space="preserve">Apastamba-sūtra</w:t>
      </w:r>
      <w:r>
        <w:t xml:space="preserve">; to</w:t>
      </w:r>
      <w:r>
        <w:t xml:space="preserve"> </w:t>
      </w:r>
      <w:r>
        <w:rPr>
          <w:b/>
          <w:bCs/>
        </w:rPr>
        <w:t xml:space="preserve">Vishṇu-śarman</w:t>
      </w:r>
      <w:r>
        <w:t xml:space="preserve">, who dwells at</w:t>
      </w:r>
      <w:r>
        <w:t xml:space="preserve"> </w:t>
      </w:r>
      <w:r>
        <w:rPr>
          <w:b/>
          <w:bCs/>
        </w:rPr>
        <w:t xml:space="preserve">Kārahaidu</w:t>
      </w:r>
      <w:r>
        <w:t xml:space="preserve">, belongs to the</w:t>
      </w:r>
      <w:r>
        <w:t xml:space="preserve"> </w:t>
      </w:r>
      <w:r>
        <w:rPr>
          <w:b/>
          <w:bCs/>
        </w:rPr>
        <w:t xml:space="preserve">Bhāradvāja-gotra</w:t>
      </w:r>
      <w:r>
        <w:t xml:space="preserve"> </w:t>
      </w:r>
      <w:r>
        <w:t xml:space="preserve">and follows the</w:t>
      </w:r>
      <w:r>
        <w:t xml:space="preserve"> </w:t>
      </w:r>
      <w:r>
        <w:rPr>
          <w:i/>
          <w:iCs/>
        </w:rPr>
        <w:t xml:space="preserve">Apastamba-sūtra</w:t>
      </w:r>
      <w:r>
        <w:t xml:space="preserve">; to</w:t>
      </w:r>
      <w:r>
        <w:t xml:space="preserve"> </w:t>
      </w:r>
      <w:r>
        <w:rPr>
          <w:b/>
          <w:bCs/>
        </w:rPr>
        <w:t xml:space="preserve">Bhāramā-śarman</w:t>
      </w:r>
      <w:r>
        <w:t xml:space="preserve">, who dwells at</w:t>
      </w:r>
      <w:r>
        <w:t xml:space="preserve"> </w:t>
      </w:r>
      <w:r>
        <w:rPr>
          <w:b/>
          <w:bCs/>
        </w:rPr>
        <w:t xml:space="preserve">Kārahaidu</w:t>
      </w:r>
      <w:r>
        <w:t xml:space="preserve">, belongs to the</w:t>
      </w:r>
      <w:r>
        <w:t xml:space="preserve"> </w:t>
      </w:r>
      <w:r>
        <w:rPr>
          <w:b/>
          <w:bCs/>
        </w:rPr>
        <w:t xml:space="preserve">Bhāradvāja-gotra</w:t>
      </w:r>
      <w:r>
        <w:t xml:space="preserve"> </w:t>
      </w:r>
      <w:r>
        <w:t xml:space="preserve">and follows the</w:t>
      </w:r>
      <w:r>
        <w:t xml:space="preserve"> </w:t>
      </w:r>
      <w:r>
        <w:rPr>
          <w:i/>
          <w:iCs/>
        </w:rPr>
        <w:t xml:space="preserve">Apastamba-sūtra</w:t>
      </w:r>
      <w:r>
        <w:t xml:space="preserve">; to</w:t>
      </w:r>
      <w:r>
        <w:t xml:space="preserve"> </w:t>
      </w:r>
      <w:r>
        <w:rPr>
          <w:b/>
          <w:bCs/>
        </w:rPr>
        <w:t xml:space="preserve">Yañja-śarman</w:t>
      </w:r>
      <w:r>
        <w:t xml:space="preserve">, who dwells at</w:t>
      </w:r>
      <w:r>
        <w:t xml:space="preserve"> </w:t>
      </w:r>
      <w:r>
        <w:rPr>
          <w:b/>
          <w:bCs/>
        </w:rPr>
        <w:t xml:space="preserve">Kārahaidu</w:t>
      </w:r>
      <w:r>
        <w:t xml:space="preserve">, belongs to the</w:t>
      </w:r>
      <w:r>
        <w:t xml:space="preserve"> </w:t>
      </w:r>
      <w:r>
        <w:rPr>
          <w:b/>
          <w:bCs/>
        </w:rPr>
        <w:t xml:space="preserve">Bhāradvāja-gotra</w:t>
      </w:r>
      <w:r>
        <w:t xml:space="preserve"> </w:t>
      </w:r>
      <w:r>
        <w:t xml:space="preserve">and follows the</w:t>
      </w:r>
      <w:r>
        <w:t xml:space="preserve"> </w:t>
      </w:r>
      <w:r>
        <w:rPr>
          <w:i/>
          <w:iCs/>
        </w:rPr>
        <w:t xml:space="preserve">Apastamba-sūtra</w:t>
      </w:r>
      <w:r>
        <w:t xml:space="preserve">; to</w:t>
      </w:r>
      <w:r>
        <w:t xml:space="preserve"> </w:t>
      </w:r>
      <w:r>
        <w:rPr>
          <w:b/>
          <w:bCs/>
        </w:rPr>
        <w:t xml:space="preserve">Bādadi-śarman</w:t>
      </w:r>
      <w:r>
        <w:t xml:space="preserve">, who dwells at</w:t>
      </w:r>
      <w:r>
        <w:t xml:space="preserve"> </w:t>
      </w:r>
      <w:r>
        <w:rPr>
          <w:b/>
          <w:bCs/>
        </w:rPr>
        <w:t xml:space="preserve">Chānturu</w:t>
      </w:r>
      <w:r>
        <w:t xml:space="preserve">, belongs to the</w:t>
      </w:r>
      <w:r>
        <w:t xml:space="preserve"> </w:t>
      </w:r>
      <w:r>
        <w:rPr>
          <w:b/>
          <w:bCs/>
        </w:rPr>
        <w:t xml:space="preserve">Bhāradvāja-gotra</w:t>
      </w:r>
      <w:r>
        <w:t xml:space="preserve"> </w:t>
      </w:r>
      <w:r>
        <w:t xml:space="preserve">and follows the</w:t>
      </w:r>
      <w:r>
        <w:t xml:space="preserve"> </w:t>
      </w:r>
      <w:r>
        <w:rPr>
          <w:i/>
          <w:iCs/>
        </w:rPr>
        <w:t xml:space="preserve">Apastamba-sūtra</w:t>
      </w:r>
      <w:r>
        <w:t xml:space="preserve">; to</w:t>
      </w:r>
      <w:r>
        <w:t xml:space="preserve"> </w:t>
      </w:r>
      <w:r>
        <w:rPr>
          <w:b/>
          <w:bCs/>
        </w:rPr>
        <w:t xml:space="preserve">Veṇṇa-śarman</w:t>
      </w:r>
      <w:r>
        <w:t xml:space="preserve">, who dwells at</w:t>
      </w:r>
      <w:r>
        <w:t xml:space="preserve"> </w:t>
      </w:r>
      <w:r>
        <w:rPr>
          <w:b/>
          <w:bCs/>
        </w:rPr>
        <w:t xml:space="preserve">Krāja</w:t>
      </w:r>
      <w:r>
        <w:t xml:space="preserve">, belongs to the</w:t>
      </w:r>
      <w:r>
        <w:t xml:space="preserve"> </w:t>
      </w:r>
      <w:r>
        <w:rPr>
          <w:b/>
          <w:bCs/>
        </w:rPr>
        <w:t xml:space="preserve">Kauṇḍinya-gotra</w:t>
      </w:r>
      <w:r>
        <w:t xml:space="preserve"> </w:t>
      </w:r>
      <w:r>
        <w:t xml:space="preserve">and follows the</w:t>
      </w:r>
      <w:r>
        <w:t xml:space="preserve"> </w:t>
      </w:r>
      <w:r>
        <w:rPr>
          <w:i/>
          <w:iCs/>
        </w:rPr>
        <w:t xml:space="preserve">Apastamba-sūtra</w:t>
      </w:r>
      <w:r>
        <w:t xml:space="preserve">; and to</w:t>
      </w:r>
      <w:r>
        <w:t xml:space="preserve"> </w:t>
      </w:r>
      <w:r>
        <w:rPr>
          <w:b/>
          <w:bCs/>
        </w:rPr>
        <w:t xml:space="preserve">Ṟompaya-śarman</w:t>
      </w:r>
      <w:r>
        <w:t xml:space="preserve">, who dwells at</w:t>
      </w:r>
      <w:r>
        <w:t xml:space="preserve"> </w:t>
      </w:r>
      <w:r>
        <w:rPr>
          <w:b/>
          <w:bCs/>
        </w:rPr>
        <w:t xml:space="preserve">Rāyūru</w:t>
      </w:r>
      <w:r>
        <w:t xml:space="preserve">, belongs to the</w:t>
      </w:r>
      <w:r>
        <w:t xml:space="preserve"> </w:t>
      </w:r>
      <w:r>
        <w:rPr>
          <w:b/>
          <w:bCs/>
        </w:rPr>
        <w:t xml:space="preserve">Agniveśya-gotra</w:t>
      </w:r>
      <w:r>
        <w:t xml:space="preserve"> </w:t>
      </w:r>
      <w:r>
        <w:t xml:space="preserve">and follows the “</w:t>
      </w:r>
      <w:r>
        <w:rPr>
          <w:i/>
          <w:iCs/>
        </w:rPr>
        <w:t xml:space="preserve">Apastamba-sūtra</w:t>
      </w:r>
      <w:r>
        <w:t xml:space="preserve">.”</w:t>
      </w:r>
    </w:p>
    <w:p>
      <w:pPr>
        <w:pStyle w:val="BodyText"/>
      </w:pPr>
      <w:r>
        <w:t xml:space="preserve">(</w:t>
      </w:r>
      <w:r>
        <w:rPr>
          <w:i/>
          <w:iCs/>
        </w:rPr>
        <w:t xml:space="preserve">Line</w:t>
      </w:r>
      <w:r>
        <w:t xml:space="preserve"> </w:t>
      </w:r>
      <w:r>
        <w:t xml:space="preserve">43.) (</w:t>
      </w:r>
      <w:r>
        <w:rPr>
          <w:i/>
          <w:iCs/>
        </w:rPr>
        <w:t xml:space="preserve">There follows</w:t>
      </w:r>
      <w:r>
        <w:t xml:space="preserve">) the description of the boundaries of this (</w:t>
      </w:r>
      <w:r>
        <w:rPr>
          <w:i/>
          <w:iCs/>
        </w:rPr>
        <w:t xml:space="preserve">village</w:t>
      </w:r>
      <w:r>
        <w:t xml:space="preserve">.)</w:t>
      </w:r>
      <w:r>
        <w:rPr>
          <w:rStyle w:val="FootnoteReference"/>
        </w:rPr>
        <w:footnoteReference w:id="36"/>
      </w:r>
      <w:r>
        <w:t xml:space="preserve"> </w:t>
      </w:r>
      <w:r>
        <w:t xml:space="preserve">. . . . . . . . .</w:t>
      </w:r>
    </w:p>
    <w:p>
      <w:pPr>
        <w:pStyle w:val="BodyText"/>
      </w:pPr>
      <w:r>
        <w:t xml:space="preserve">(</w:t>
      </w:r>
      <w:r>
        <w:rPr>
          <w:i/>
          <w:iCs/>
        </w:rPr>
        <w:t xml:space="preserve">Line</w:t>
      </w:r>
      <w:r>
        <w:t xml:space="preserve"> </w:t>
      </w:r>
      <w:r>
        <w:t xml:space="preserve">45.) Nobody shall cause obstruction to this (</w:t>
      </w:r>
      <w:r>
        <w:rPr>
          <w:i/>
          <w:iCs/>
        </w:rPr>
        <w:t xml:space="preserve">grant</w:t>
      </w:r>
      <w:r>
        <w:t xml:space="preserve">); he, who does it, becomes possessed of the five great sins.</w:t>
      </w:r>
      <w:r>
        <w:t xml:space="preserve"> </w:t>
      </w:r>
      <w:r>
        <w:rPr>
          <w:b/>
          <w:bCs/>
        </w:rPr>
        <w:t xml:space="preserve">Vyāsa</w:t>
      </w:r>
      <w:r>
        <w:t xml:space="preserve"> </w:t>
      </w:r>
      <w:r>
        <w:t xml:space="preserve">also has said:</w:t>
      </w:r>
      <w:r>
        <w:t xml:space="preserve"> </w:t>
      </w:r>
      <w:r>
        <w:rPr>
          <w:i/>
          <w:iCs/>
        </w:rPr>
        <w:t xml:space="preserve">[Here follow three of the customary imprecatory verses, which it is unnecessary to translate.]</w:t>
      </w:r>
    </w:p>
    <w:p>
      <w:pPr>
        <w:pStyle w:val="BodyText"/>
      </w:pPr>
      <w:r>
        <w:t xml:space="preserve">(</w:t>
      </w:r>
      <w:r>
        <w:rPr>
          <w:i/>
          <w:iCs/>
        </w:rPr>
        <w:t xml:space="preserve">Line</w:t>
      </w:r>
      <w:r>
        <w:t xml:space="preserve"> </w:t>
      </w:r>
      <w:r>
        <w:t xml:space="preserve">49.) Rāma also has said:</w:t>
      </w:r>
      <w:r>
        <w:t xml:space="preserve"> </w:t>
      </w:r>
      <w:r>
        <w:rPr>
          <w:i/>
          <w:iCs/>
        </w:rPr>
        <w:t xml:space="preserve">[Here follows another verse.]</w:t>
      </w:r>
    </w:p>
    <w:p>
      <w:pPr>
        <w:pStyle w:val="BodyText"/>
      </w:pPr>
      <w:r>
        <w:t xml:space="preserve">(</w:t>
      </w:r>
      <w:r>
        <w:rPr>
          <w:i/>
          <w:iCs/>
        </w:rPr>
        <w:t xml:space="preserve">Line</w:t>
      </w:r>
      <w:r>
        <w:t xml:space="preserve"> </w:t>
      </w:r>
      <w:r>
        <w:t xml:space="preserve">51.) The executor (</w:t>
      </w:r>
      <w:r>
        <w:rPr>
          <w:i/>
          <w:iCs/>
        </w:rPr>
        <w:t xml:space="preserve">ājñapti</w:t>
      </w:r>
      <w:r>
        <w:t xml:space="preserve">) of this charity (</w:t>
      </w:r>
      <w:r>
        <w:rPr>
          <w:i/>
          <w:iCs/>
        </w:rPr>
        <w:t xml:space="preserve">was</w:t>
      </w:r>
      <w:r>
        <w:t xml:space="preserve">) the excellent prince</w:t>
      </w:r>
      <w:r>
        <w:t xml:space="preserve"> </w:t>
      </w:r>
      <w:r>
        <w:rPr>
          <w:b/>
          <w:bCs/>
        </w:rPr>
        <w:t xml:space="preserve">Nṛipa-Rudra</w:t>
      </w:r>
      <w:r>
        <w:t xml:space="preserve">, who was the brother of</w:t>
      </w:r>
      <w:r>
        <w:t xml:space="preserve"> </w:t>
      </w:r>
      <w:r>
        <w:rPr>
          <w:b/>
          <w:bCs/>
        </w:rPr>
        <w:t xml:space="preserve">Narendra-mṛigarāja</w:t>
      </w:r>
      <w:r>
        <w:t xml:space="preserve"> </w:t>
      </w:r>
      <w:r>
        <w:t xml:space="preserve">and a descendant of the</w:t>
      </w:r>
      <w:r>
        <w:t xml:space="preserve"> </w:t>
      </w:r>
      <w:r>
        <w:rPr>
          <w:b/>
          <w:bCs/>
        </w:rPr>
        <w:t xml:space="preserve">Haihaya</w:t>
      </w:r>
      <w:r>
        <w:t xml:space="preserve"> </w:t>
      </w:r>
      <w:r>
        <w:t xml:space="preserve">race.</w:t>
      </w:r>
    </w:p>
    <w:p>
      <w:pPr>
        <w:pStyle w:val="BodyText"/>
      </w:pPr>
      <w:r>
        <w:t xml:space="preserve">(</w:t>
      </w:r>
      <w:r>
        <w:rPr>
          <w:i/>
          <w:iCs/>
        </w:rPr>
        <w:t xml:space="preserve">Line</w:t>
      </w:r>
      <w:r>
        <w:t xml:space="preserve"> </w:t>
      </w:r>
      <w:r>
        <w:t xml:space="preserve">52.) (</w:t>
      </w:r>
      <w:r>
        <w:rPr>
          <w:i/>
          <w:iCs/>
        </w:rPr>
        <w:t xml:space="preserve">This edict</w:t>
      </w:r>
      <w:r>
        <w:t xml:space="preserve">) was written by</w:t>
      </w:r>
      <w:r>
        <w:t xml:space="preserve"> </w:t>
      </w:r>
      <w:r>
        <w:rPr>
          <w:b/>
          <w:bCs/>
        </w:rPr>
        <w:t xml:space="preserve">Aksharalalitāchārya</w:t>
      </w:r>
      <w:r>
        <w:t xml:space="preserve">, who dwelt at</w:t>
      </w:r>
      <w:r>
        <w:t xml:space="preserve"> </w:t>
      </w:r>
      <w:r>
        <w:rPr>
          <w:b/>
          <w:bCs/>
        </w:rPr>
        <w:t xml:space="preserve">Vijayavāda</w:t>
      </w:r>
      <w:r>
        <w:t xml:space="preserve">.</w:t>
      </w:r>
    </w:p>
    <w:p>
      <w:pPr>
        <w:pStyle w:val="Heading1"/>
      </w:pPr>
      <w:r>
        <w:t xml:space="preserve">Bibliography</w:t>
      </w:r>
    </w:p>
    <w:p>
      <w:pPr>
        <w:pStyle w:val="FirstParagraph"/>
      </w:pPr>
      <w:r>
        <w:t xml:space="preserve">Digital edition of SII 1.35 by Hultzsch 1890 converted to DHARMA conventions by Emmanuel Francis.</w:t>
      </w:r>
    </w:p>
    <w:p>
      <w:pPr>
        <w:pStyle w:val="BodyText"/>
      </w:pPr>
      <w:r>
        <w:t xml:space="preserve">See also edition by Daniel Balogh (</w:t>
      </w:r>
      <w:hyperlink r:id="rId37">
        <w:r>
          <w:rPr>
            <w:rStyle w:val="Hyperlink"/>
          </w:rPr>
          <w:t xml:space="preserve">Koṟṟapaṟṟu grant of Vijayāditya II</w:t>
        </w:r>
      </w:hyperlink>
      <w:r>
        <w:t xml:space="preserve"> </w:t>
      </w:r>
      <w:r>
        <w:t xml:space="preserve">).</w:t>
      </w:r>
    </w:p>
    <w:p>
      <w:pPr>
        <w:pStyle w:val="Heading2"/>
      </w:pPr>
      <w:r>
        <w:t xml:space="preserve">Primary</w:t>
      </w:r>
    </w:p>
    <w:p>
      <w:pPr>
        <w:pStyle w:val="FirstParagraph"/>
      </w:pPr>
      <w:r>
        <w:rPr>
          <w:b/>
          <w:bCs/>
        </w:rPr>
        <w:t xml:space="preserve">[SII]</w:t>
      </w:r>
      <w:r>
        <w:t xml:space="preserve"> </w:t>
      </w:r>
      <w:r>
        <w:t xml:space="preserve">Hultzsch, Eugen Julius Theodor. 1890.</w:t>
      </w:r>
      <w:r>
        <w:t xml:space="preserve"> </w:t>
      </w:r>
      <w:r>
        <w:rPr>
          <w:i/>
          <w:iCs/>
        </w:rPr>
        <w:t xml:space="preserve">South-Indian inscriptions, Tamil and Sanskrit, from stone and copper-plate edicts at Mamallapuram, Kanchipuram, in the North Arcot district, and other parts of the Madras Presidency, chiefly collected in 1886-87. Volume I</w:t>
      </w:r>
      <w:r>
        <w:t xml:space="preserve">. South Indian Inscriptions 1. Madras: Government Press. Pages 31–36, item 35.</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9">
    <w:p>
      <w:pPr>
        <w:pStyle w:val="FootnoteText"/>
      </w:pPr>
      <w:r>
        <w:rPr>
          <w:rStyle w:val="FootnoteReference"/>
        </w:rPr>
        <w:footnoteRef/>
      </w:r>
      <w:r>
        <w:t xml:space="preserve"> </w:t>
      </w:r>
      <w:r>
        <w:t xml:space="preserve">For previous lists of the Eastern Chalukya dynasty, see Sir Walter Elliot’s</w:t>
      </w:r>
      <w:r>
        <w:t xml:space="preserve"> </w:t>
      </w:r>
      <w:r>
        <w:rPr>
          <w:i/>
          <w:iCs/>
        </w:rPr>
        <w:t xml:space="preserve">Numismatic Gleanings</w:t>
      </w:r>
      <w:r>
        <w:t xml:space="preserve">, No. 2, in the</w:t>
      </w:r>
      <w:r>
        <w:t xml:space="preserve"> </w:t>
      </w:r>
      <w:r>
        <w:rPr>
          <w:i/>
          <w:iCs/>
        </w:rPr>
        <w:t xml:space="preserve">Madras Journal</w:t>
      </w:r>
      <w:r>
        <w:t xml:space="preserve">, New Series, Vol. IV, pp. 81</w:t>
      </w:r>
      <w:r>
        <w:t xml:space="preserve"> </w:t>
      </w:r>
      <w:r>
        <w:rPr>
          <w:i/>
          <w:iCs/>
        </w:rPr>
        <w:t xml:space="preserve">f</w:t>
      </w:r>
      <w:r>
        <w:t xml:space="preserve">. and the same scholar’s</w:t>
      </w:r>
      <w:r>
        <w:t xml:space="preserve"> </w:t>
      </w:r>
      <w:r>
        <w:rPr>
          <w:i/>
          <w:iCs/>
        </w:rPr>
        <w:t xml:space="preserve">Coins of Southern India</w:t>
      </w:r>
      <w:r>
        <w:t xml:space="preserve">, p. 87; Dr. Burnell’s</w:t>
      </w:r>
      <w:r>
        <w:t xml:space="preserve"> </w:t>
      </w:r>
      <w:r>
        <w:rPr>
          <w:i/>
          <w:iCs/>
        </w:rPr>
        <w:t xml:space="preserve">South-Indian Palaeography</w:t>
      </w:r>
      <w:r>
        <w:t xml:space="preserve">, pp. 21</w:t>
      </w:r>
      <w:r>
        <w:t xml:space="preserve"> </w:t>
      </w:r>
      <w:r>
        <w:rPr>
          <w:i/>
          <w:iCs/>
        </w:rPr>
        <w:t xml:space="preserve">f</w:t>
      </w:r>
      <w:r>
        <w:t xml:space="preserve">. and Sewell’s</w:t>
      </w:r>
      <w:r>
        <w:t xml:space="preserve"> </w:t>
      </w:r>
      <w:r>
        <w:rPr>
          <w:i/>
          <w:iCs/>
        </w:rPr>
        <w:t xml:space="preserve">Lists of Antiquities</w:t>
      </w:r>
      <w:r>
        <w:t xml:space="preserve">, Vol. II, p. 152.</w:t>
      </w:r>
    </w:p>
  </w:footnote>
  <w:footnote w:id="11">
    <w:p>
      <w:pPr>
        <w:pStyle w:val="FootnoteText"/>
      </w:pPr>
      <w:r>
        <w:rPr>
          <w:rStyle w:val="FootnoteReference"/>
        </w:rPr>
        <w:footnoteRef/>
      </w:r>
      <w:r>
        <w:t xml:space="preserve"> </w:t>
      </w:r>
      <w:r>
        <w:t xml:space="preserve">Compare</w:t>
      </w:r>
      <w:r>
        <w:t xml:space="preserve"> </w:t>
      </w:r>
      <w:r>
        <w:rPr>
          <w:i/>
          <w:iCs/>
        </w:rPr>
        <w:t xml:space="preserve">uttarāyaṇanimitte</w:t>
      </w:r>
      <w:r>
        <w:t xml:space="preserve"> </w:t>
      </w:r>
      <w:r>
        <w:t xml:space="preserve">in No.</w:t>
      </w:r>
      <w:r>
        <w:t xml:space="preserve"> </w:t>
      </w:r>
      <w:hyperlink r:id="rId12">
        <w:r>
          <w:rPr>
            <w:rStyle w:val="Hyperlink"/>
          </w:rPr>
          <w:t xml:space="preserve">37</w:t>
        </w:r>
      </w:hyperlink>
      <w:r>
        <w:t xml:space="preserve">, and</w:t>
      </w:r>
      <w:r>
        <w:t xml:space="preserve"> </w:t>
      </w:r>
      <w:r>
        <w:rPr>
          <w:i/>
          <w:iCs/>
        </w:rPr>
        <w:t xml:space="preserve">Yājñavalkya</w:t>
      </w:r>
      <w:r>
        <w:t xml:space="preserve">, I, 203:</w:t>
      </w:r>
      <w:r>
        <w:t xml:space="preserve"> </w:t>
      </w:r>
      <w:r>
        <w:rPr>
          <w:i/>
          <w:iCs/>
        </w:rPr>
        <w:t xml:space="preserve">dātavyaṁ pratyahaṁ pātre nimitteṣu viśeṣataḥ,</w:t>
      </w:r>
      <w:r>
        <w:t xml:space="preserve"> </w:t>
      </w:r>
      <w:r>
        <w:t xml:space="preserve">where the</w:t>
      </w:r>
      <w:r>
        <w:t xml:space="preserve"> </w:t>
      </w:r>
      <w:r>
        <w:rPr>
          <w:i/>
          <w:iCs/>
        </w:rPr>
        <w:t xml:space="preserve">Mitāksharā</w:t>
      </w:r>
      <w:r>
        <w:t xml:space="preserve"> </w:t>
      </w:r>
      <w:r>
        <w:t xml:space="preserve">explains</w:t>
      </w:r>
      <w:r>
        <w:t xml:space="preserve"> </w:t>
      </w:r>
      <w:r>
        <w:rPr>
          <w:i/>
          <w:iCs/>
        </w:rPr>
        <w:t xml:space="preserve">nimitteṣu</w:t>
      </w:r>
      <w:r>
        <w:t xml:space="preserve"> </w:t>
      </w:r>
      <w:r>
        <w:t xml:space="preserve">by</w:t>
      </w:r>
      <w:r>
        <w:t xml:space="preserve"> </w:t>
      </w:r>
      <w:r>
        <w:rPr>
          <w:i/>
          <w:iCs/>
        </w:rPr>
        <w:t xml:space="preserve">candroparāgādiṣu</w:t>
      </w:r>
      <w:r>
        <w:t xml:space="preserve">. The</w:t>
      </w:r>
      <w:r>
        <w:t xml:space="preserve"> </w:t>
      </w:r>
      <w:r>
        <w:rPr>
          <w:i/>
          <w:iCs/>
        </w:rPr>
        <w:t xml:space="preserve">nimittas</w:t>
      </w:r>
      <w:r>
        <w:t xml:space="preserve"> </w:t>
      </w:r>
      <w:r>
        <w:t xml:space="preserve">are specified in an inscription from Dholpur, which I have published in the</w:t>
      </w:r>
      <w:r>
        <w:t xml:space="preserve"> </w:t>
      </w:r>
      <w:r>
        <w:rPr>
          <w:i/>
          <w:iCs/>
        </w:rPr>
        <w:t xml:space="preserve">Zeitschr. d. Deutsch. Morg. Gesellschaft</w:t>
      </w:r>
      <w:r>
        <w:t xml:space="preserve">, Vol. XL, p. 38, where king Chaṇḍamahāsena is said to have made gifts</w:t>
      </w:r>
      <w:r>
        <w:t xml:space="preserve"> </w:t>
      </w:r>
      <w:r>
        <w:rPr>
          <w:i/>
          <w:iCs/>
        </w:rPr>
        <w:t xml:space="preserve">rāhūparodhaparvaṇi, saṁkrāntau</w:t>
      </w:r>
      <w:r>
        <w:t xml:space="preserve"> </w:t>
      </w:r>
      <w:r>
        <w:t xml:space="preserve">and</w:t>
      </w:r>
      <w:r>
        <w:t xml:space="preserve"> </w:t>
      </w:r>
      <w:r>
        <w:rPr>
          <w:i/>
          <w:iCs/>
        </w:rPr>
        <w:t xml:space="preserve">ayanādāṁ</w:t>
      </w:r>
      <w:r>
        <w:t xml:space="preserve">.</w:t>
      </w:r>
    </w:p>
  </w:footnote>
  <w:footnote w:id="13">
    <w:p>
      <w:pPr>
        <w:pStyle w:val="FootnoteText"/>
      </w:pPr>
      <w:r>
        <w:rPr>
          <w:rStyle w:val="FootnoteReference"/>
        </w:rPr>
        <w:footnoteRef/>
      </w:r>
      <w:r>
        <w:t xml:space="preserve"> </w:t>
      </w:r>
      <w:r>
        <w:rPr>
          <w:i/>
          <w:iCs/>
        </w:rPr>
        <w:t xml:space="preserve">Ājñaptir asya dharmasya; ājñapti</w:t>
      </w:r>
      <w:r>
        <w:t xml:space="preserve">, which occurs in several other grants, is evidently a synonym of</w:t>
      </w:r>
      <w:r>
        <w:t xml:space="preserve"> </w:t>
      </w:r>
      <w:r>
        <w:rPr>
          <w:i/>
          <w:iCs/>
        </w:rPr>
        <w:t xml:space="preserve">dūtaka “(royal</w:t>
      </w:r>
      <w:r>
        <w:t xml:space="preserve">) messenger;” see Mr. Fleet’s note 37,</w:t>
      </w:r>
      <w:r>
        <w:t xml:space="preserve"> </w:t>
      </w:r>
      <w:r>
        <w:rPr>
          <w:i/>
          <w:iCs/>
        </w:rPr>
        <w:t xml:space="preserve">Ind. Ant</w:t>
      </w:r>
      <w:r>
        <w:t xml:space="preserve">. Vol. VIII, p. 79. In other inscriptions we find</w:t>
      </w:r>
      <w:r>
        <w:t xml:space="preserve"> </w:t>
      </w:r>
      <w:r>
        <w:rPr>
          <w:i/>
          <w:iCs/>
        </w:rPr>
        <w:t xml:space="preserve">ājñā</w:t>
      </w:r>
      <w:r>
        <w:t xml:space="preserve"> </w:t>
      </w:r>
      <w:r>
        <w:t xml:space="preserve">(Vol. XIII, p. 122, note 45) and</w:t>
      </w:r>
      <w:r>
        <w:t xml:space="preserve"> </w:t>
      </w:r>
      <w:r>
        <w:rPr>
          <w:i/>
          <w:iCs/>
        </w:rPr>
        <w:t xml:space="preserve">ājñādāpaka</w:t>
      </w:r>
      <w:r>
        <w:t xml:space="preserve"> </w:t>
      </w:r>
      <w:r>
        <w:t xml:space="preserve">(Vol. XIV, p. 161, note 28).</w:t>
      </w:r>
    </w:p>
  </w:footnote>
  <w:footnote w:id="14">
    <w:p>
      <w:pPr>
        <w:pStyle w:val="FootnoteText"/>
      </w:pPr>
      <w:r>
        <w:rPr>
          <w:rStyle w:val="FootnoteReference"/>
        </w:rPr>
        <w:footnoteRef/>
      </w:r>
      <w:r>
        <w:t xml:space="preserve"> </w:t>
      </w:r>
      <w:r>
        <w:t xml:space="preserve">See Mr. Fleet’s</w:t>
      </w:r>
      <w:r>
        <w:t xml:space="preserve"> </w:t>
      </w:r>
      <w:r>
        <w:rPr>
          <w:i/>
          <w:iCs/>
        </w:rPr>
        <w:t xml:space="preserve">Kanarese Dynasties</w:t>
      </w:r>
      <w:r>
        <w:t xml:space="preserve">, page 23.</w:t>
      </w:r>
    </w:p>
  </w:footnote>
  <w:footnote w:id="15">
    <w:p>
      <w:pPr>
        <w:pStyle w:val="FootnoteText"/>
      </w:pPr>
      <w:r>
        <w:rPr>
          <w:rStyle w:val="FootnoteReference"/>
        </w:rPr>
        <w:footnoteRef/>
      </w:r>
      <w:r>
        <w:t xml:space="preserve"> </w:t>
      </w:r>
      <w:r>
        <w:t xml:space="preserve">The surname Vishamasiddhi is found on the seals of some grants and in a grant published in Dr. Burnell’s</w:t>
      </w:r>
      <w:r>
        <w:t xml:space="preserve"> </w:t>
      </w:r>
      <w:r>
        <w:rPr>
          <w:i/>
          <w:iCs/>
        </w:rPr>
        <w:t xml:space="preserve">South-Indian Palaeography, 2nd edition</w:t>
      </w:r>
      <w:r>
        <w:t xml:space="preserve">, page 137, plate xxvii, line 4. See also</w:t>
      </w:r>
      <w:r>
        <w:t xml:space="preserve"> </w:t>
      </w:r>
      <w:r>
        <w:rPr>
          <w:i/>
          <w:iCs/>
        </w:rPr>
        <w:t xml:space="preserve">Ind. Ant</w:t>
      </w:r>
      <w:r>
        <w:t xml:space="preserve">. Vol. VII, p. 185.</w:t>
      </w:r>
    </w:p>
  </w:footnote>
  <w:footnote w:id="16">
    <w:p>
      <w:pPr>
        <w:pStyle w:val="FootnoteText"/>
      </w:pPr>
      <w:r>
        <w:rPr>
          <w:rStyle w:val="FootnoteReference"/>
        </w:rPr>
        <w:footnoteRef/>
      </w:r>
      <w:r>
        <w:t xml:space="preserve"> </w:t>
      </w:r>
      <w:r>
        <w:t xml:space="preserve">30 years according to</w:t>
      </w:r>
      <w:r>
        <w:t xml:space="preserve"> </w:t>
      </w:r>
      <w:r>
        <w:rPr>
          <w:i/>
          <w:iCs/>
        </w:rPr>
        <w:t xml:space="preserve">Ind. Ant</w:t>
      </w:r>
      <w:r>
        <w:t xml:space="preserve">. Vol. VII, page 16; Vol. XIV, page 56.</w:t>
      </w:r>
    </w:p>
  </w:footnote>
  <w:footnote w:id="17">
    <w:p>
      <w:pPr>
        <w:pStyle w:val="FootnoteText"/>
      </w:pPr>
      <w:r>
        <w:rPr>
          <w:rStyle w:val="FootnoteReference"/>
        </w:rPr>
        <w:footnoteRef/>
      </w:r>
      <w:r>
        <w:t xml:space="preserve"> </w:t>
      </w:r>
      <w:r>
        <w:t xml:space="preserve">According to the three latest inscriptions (</w:t>
      </w:r>
      <w:r>
        <w:rPr>
          <w:i/>
          <w:iCs/>
        </w:rPr>
        <w:t xml:space="preserve">Ind. Ant</w:t>
      </w:r>
      <w:r>
        <w:t xml:space="preserve">. XIV, 52, 56 and No.</w:t>
      </w:r>
      <w:r>
        <w:t xml:space="preserve"> </w:t>
      </w:r>
      <w:hyperlink r:id="rId10">
        <w:r>
          <w:rPr>
            <w:rStyle w:val="Hyperlink"/>
          </w:rPr>
          <w:t xml:space="preserve">39</w:t>
        </w:r>
      </w:hyperlink>
      <w:r>
        <w:t xml:space="preserve">) he ruled 7 days.</w:t>
      </w:r>
    </w:p>
  </w:footnote>
  <w:footnote w:id="18">
    <w:p>
      <w:pPr>
        <w:pStyle w:val="FootnoteText"/>
      </w:pPr>
      <w:r>
        <w:rPr>
          <w:rStyle w:val="FootnoteReference"/>
        </w:rPr>
        <w:footnoteRef/>
      </w:r>
      <w:r>
        <w:t xml:space="preserve"> </w:t>
      </w:r>
      <w:r>
        <w:t xml:space="preserve">40 years according to No.</w:t>
      </w:r>
      <w:r>
        <w:t xml:space="preserve"> </w:t>
      </w:r>
      <w:hyperlink r:id="rId12">
        <w:r>
          <w:rPr>
            <w:rStyle w:val="Hyperlink"/>
          </w:rPr>
          <w:t xml:space="preserve">37</w:t>
        </w:r>
      </w:hyperlink>
      <w:r>
        <w:t xml:space="preserve"> </w:t>
      </w:r>
      <w:r>
        <w:t xml:space="preserve">and</w:t>
      </w:r>
      <w:r>
        <w:t xml:space="preserve"> </w:t>
      </w:r>
      <w:r>
        <w:rPr>
          <w:i/>
          <w:iCs/>
        </w:rPr>
        <w:t xml:space="preserve">Ind. Ant</w:t>
      </w:r>
      <w:r>
        <w:t xml:space="preserve">. VIII, 77; 44 years according to No.</w:t>
      </w:r>
      <w:r>
        <w:t xml:space="preserve"> </w:t>
      </w:r>
      <w:hyperlink r:id="rId19">
        <w:r>
          <w:rPr>
            <w:rStyle w:val="Hyperlink"/>
          </w:rPr>
          <w:t xml:space="preserve">36</w:t>
        </w:r>
      </w:hyperlink>
      <w:r>
        <w:t xml:space="preserve">.</w:t>
      </w:r>
    </w:p>
  </w:footnote>
  <w:footnote w:id="20">
    <w:p>
      <w:pPr>
        <w:pStyle w:val="FootnoteText"/>
      </w:pPr>
      <w:r>
        <w:rPr>
          <w:rStyle w:val="FootnoteReference"/>
        </w:rPr>
        <w:footnoteRef/>
      </w:r>
      <w:r>
        <w:t xml:space="preserve"> </w:t>
      </w:r>
      <w:r>
        <w:t xml:space="preserve">He reigned (1/2) month according to No.</w:t>
      </w:r>
      <w:r>
        <w:t xml:space="preserve"> </w:t>
      </w:r>
      <w:hyperlink r:id="rId12">
        <w:r>
          <w:rPr>
            <w:rStyle w:val="Hyperlink"/>
          </w:rPr>
          <w:t xml:space="preserve">37</w:t>
        </w:r>
      </w:hyperlink>
      <w:r>
        <w:t xml:space="preserve"> </w:t>
      </w:r>
      <w:r>
        <w:t xml:space="preserve">and</w:t>
      </w:r>
      <w:r>
        <w:t xml:space="preserve"> </w:t>
      </w:r>
      <w:r>
        <w:rPr>
          <w:i/>
          <w:iCs/>
        </w:rPr>
        <w:t xml:space="preserve">Ind. Ant</w:t>
      </w:r>
      <w:r>
        <w:t xml:space="preserve">. XIII, 249.</w:t>
      </w:r>
    </w:p>
  </w:footnote>
  <w:footnote w:id="21">
    <w:p>
      <w:pPr>
        <w:pStyle w:val="FootnoteText"/>
      </w:pPr>
      <w:r>
        <w:rPr>
          <w:rStyle w:val="FootnoteReference"/>
        </w:rPr>
        <w:footnoteRef/>
      </w:r>
      <w:r>
        <w:t xml:space="preserve"> </w:t>
      </w:r>
      <w:r>
        <w:t xml:space="preserve">[[missing]]</w:t>
      </w:r>
    </w:p>
  </w:footnote>
  <w:footnote w:id="22">
    <w:p>
      <w:pPr>
        <w:pStyle w:val="FootnoteText"/>
      </w:pPr>
      <w:r>
        <w:rPr>
          <w:rStyle w:val="FootnoteReference"/>
        </w:rPr>
        <w:footnoteRef/>
      </w:r>
      <w:r>
        <w:t xml:space="preserve"> </w:t>
      </w:r>
      <w:r>
        <w:t xml:space="preserve">He is left out altogether in No.</w:t>
      </w:r>
      <w:r>
        <w:t xml:space="preserve"> </w:t>
      </w:r>
      <w:hyperlink r:id="rId12">
        <w:r>
          <w:rPr>
            <w:rStyle w:val="Hyperlink"/>
          </w:rPr>
          <w:t xml:space="preserve">37</w:t>
        </w:r>
      </w:hyperlink>
      <w:r>
        <w:t xml:space="preserve"> </w:t>
      </w:r>
      <w:r>
        <w:t xml:space="preserve">and</w:t>
      </w:r>
      <w:r>
        <w:t xml:space="preserve"> </w:t>
      </w:r>
      <w:r>
        <w:rPr>
          <w:i/>
          <w:iCs/>
        </w:rPr>
        <w:t xml:space="preserve">Ind. Ant</w:t>
      </w:r>
      <w:r>
        <w:t xml:space="preserve">. XIII, 249.</w:t>
      </w:r>
    </w:p>
  </w:footnote>
  <w:footnote w:id="23">
    <w:p>
      <w:pPr>
        <w:pStyle w:val="FootnoteText"/>
      </w:pPr>
      <w:r>
        <w:rPr>
          <w:rStyle w:val="FootnoteReference"/>
        </w:rPr>
        <w:footnoteRef/>
      </w:r>
      <w:r>
        <w:t xml:space="preserve"> </w:t>
      </w:r>
      <w:r>
        <w:t xml:space="preserve">[[missing]]</w:t>
      </w:r>
    </w:p>
  </w:footnote>
  <w:footnote w:id="24">
    <w:p>
      <w:pPr>
        <w:pStyle w:val="FootnoteText"/>
      </w:pPr>
      <w:r>
        <w:rPr>
          <w:rStyle w:val="FootnoteReference"/>
        </w:rPr>
        <w:footnoteRef/>
      </w:r>
      <w:r>
        <w:t xml:space="preserve"> </w:t>
      </w:r>
      <w:r>
        <w:t xml:space="preserve">[[missing]]</w:t>
      </w:r>
    </w:p>
  </w:footnote>
  <w:footnote w:id="25">
    <w:p>
      <w:pPr>
        <w:pStyle w:val="FootnoteText"/>
      </w:pPr>
      <w:r>
        <w:rPr>
          <w:rStyle w:val="FootnoteReference"/>
        </w:rPr>
        <w:footnoteRef/>
      </w:r>
      <w:r>
        <w:t xml:space="preserve"> </w:t>
      </w:r>
      <w:r>
        <w:t xml:space="preserve">[[missing]]</w:t>
      </w:r>
    </w:p>
  </w:footnote>
  <w:footnote w:id="26">
    <w:p>
      <w:pPr>
        <w:pStyle w:val="FootnoteText"/>
      </w:pPr>
      <w:r>
        <w:rPr>
          <w:rStyle w:val="FootnoteReference"/>
        </w:rPr>
        <w:footnoteRef/>
      </w:r>
      <w:r>
        <w:t xml:space="preserve"> </w:t>
      </w:r>
      <w:r>
        <w:t xml:space="preserve">[[missing]]</w:t>
      </w:r>
    </w:p>
  </w:footnote>
  <w:footnote w:id="27">
    <w:p>
      <w:pPr>
        <w:pStyle w:val="FootnoteText"/>
      </w:pPr>
      <w:r>
        <w:rPr>
          <w:rStyle w:val="FootnoteReference"/>
        </w:rPr>
        <w:footnoteRef/>
      </w:r>
      <w:r>
        <w:t xml:space="preserve"> </w:t>
      </w:r>
      <w:r>
        <w:t xml:space="preserve">[[missing]]</w:t>
      </w:r>
    </w:p>
  </w:footnote>
  <w:footnote w:id="28">
    <w:p>
      <w:pPr>
        <w:pStyle w:val="FootnoteText"/>
      </w:pPr>
      <w:r>
        <w:rPr>
          <w:rStyle w:val="FootnoteReference"/>
        </w:rPr>
        <w:footnoteRef/>
      </w:r>
      <w:r>
        <w:t xml:space="preserve"> </w:t>
      </w:r>
      <w:r>
        <w:t xml:space="preserve">The three</w:t>
      </w:r>
      <w:r>
        <w:t xml:space="preserve"> </w:t>
      </w:r>
      <w:r>
        <w:rPr>
          <w:i/>
          <w:iCs/>
        </w:rPr>
        <w:t xml:space="preserve">śaktis</w:t>
      </w:r>
      <w:r>
        <w:t xml:space="preserve"> </w:t>
      </w:r>
      <w:r>
        <w:t xml:space="preserve">are</w:t>
      </w:r>
      <w:r>
        <w:t xml:space="preserve"> </w:t>
      </w:r>
      <w:r>
        <w:rPr>
          <w:i/>
          <w:iCs/>
        </w:rPr>
        <w:t xml:space="preserve">prabhāva, utsāha</w:t>
      </w:r>
      <w:r>
        <w:t xml:space="preserve"> </w:t>
      </w:r>
      <w:r>
        <w:t xml:space="preserve">and</w:t>
      </w:r>
      <w:r>
        <w:t xml:space="preserve"> </w:t>
      </w:r>
      <w:r>
        <w:rPr>
          <w:i/>
          <w:iCs/>
        </w:rPr>
        <w:t xml:space="preserve">mantra</w:t>
      </w:r>
      <w:r>
        <w:t xml:space="preserve">.</w:t>
      </w:r>
    </w:p>
  </w:footnote>
  <w:footnote w:id="29">
    <w:p>
      <w:pPr>
        <w:pStyle w:val="FootnoteText"/>
      </w:pPr>
      <w:r>
        <w:rPr>
          <w:rStyle w:val="FootnoteReference"/>
        </w:rPr>
        <w:footnoteRef/>
      </w:r>
      <w:r>
        <w:t xml:space="preserve"> </w:t>
      </w:r>
      <w:r>
        <w:t xml:space="preserve">The king’s sword is compared to a claw and consequently Narendra-mṛigarāja (i.e.,</w:t>
      </w:r>
      <w:r>
        <w:t xml:space="preserve"> </w:t>
      </w:r>
      <w:r>
        <w:rPr>
          <w:i/>
          <w:iCs/>
        </w:rPr>
        <w:t xml:space="preserve">the lion among princes</w:t>
      </w:r>
      <w:r>
        <w:t xml:space="preserve">) himself to a lion or to Narasiṁha.</w:t>
      </w:r>
    </w:p>
  </w:footnote>
  <w:footnote w:id="30">
    <w:p>
      <w:pPr>
        <w:pStyle w:val="FootnoteText"/>
      </w:pPr>
      <w:r>
        <w:rPr>
          <w:rStyle w:val="FootnoteReference"/>
        </w:rPr>
        <w:footnoteRef/>
      </w:r>
      <w:r>
        <w:t xml:space="preserve"> </w:t>
      </w:r>
      <w:r>
        <w:t xml:space="preserve">These are</w:t>
      </w:r>
      <w:r>
        <w:t xml:space="preserve"> </w:t>
      </w:r>
      <w:r>
        <w:rPr>
          <w:i/>
          <w:iCs/>
        </w:rPr>
        <w:t xml:space="preserve">kāma, krodha, lobha, harsha, māna</w:t>
      </w:r>
      <w:r>
        <w:t xml:space="preserve"> </w:t>
      </w:r>
      <w:r>
        <w:t xml:space="preserve">and</w:t>
      </w:r>
      <w:r>
        <w:t xml:space="preserve"> </w:t>
      </w:r>
      <w:r>
        <w:rPr>
          <w:i/>
          <w:iCs/>
        </w:rPr>
        <w:t xml:space="preserve">mada</w:t>
      </w:r>
      <w:r>
        <w:t xml:space="preserve">.</w:t>
      </w:r>
    </w:p>
  </w:footnote>
  <w:footnote w:id="31">
    <w:p>
      <w:pPr>
        <w:pStyle w:val="FootnoteText"/>
      </w:pPr>
      <w:r>
        <w:rPr>
          <w:rStyle w:val="FootnoteReference"/>
        </w:rPr>
        <w:footnoteRef/>
      </w:r>
      <w:r>
        <w:t xml:space="preserve"> </w:t>
      </w:r>
      <w:r>
        <w:t xml:space="preserve">The four</w:t>
      </w:r>
      <w:r>
        <w:t xml:space="preserve"> </w:t>
      </w:r>
      <w:r>
        <w:rPr>
          <w:i/>
          <w:iCs/>
        </w:rPr>
        <w:t xml:space="preserve">upāyas</w:t>
      </w:r>
      <w:r>
        <w:t xml:space="preserve"> </w:t>
      </w:r>
      <w:r>
        <w:t xml:space="preserve">are</w:t>
      </w:r>
      <w:r>
        <w:t xml:space="preserve"> </w:t>
      </w:r>
      <w:r>
        <w:rPr>
          <w:i/>
          <w:iCs/>
        </w:rPr>
        <w:t xml:space="preserve">sāman, dāna, bheda</w:t>
      </w:r>
      <w:r>
        <w:t xml:space="preserve"> </w:t>
      </w:r>
      <w:r>
        <w:t xml:space="preserve">and</w:t>
      </w:r>
      <w:r>
        <w:t xml:space="preserve"> </w:t>
      </w:r>
      <w:r>
        <w:rPr>
          <w:i/>
          <w:iCs/>
        </w:rPr>
        <w:t xml:space="preserve">deṇḍa</w:t>
      </w:r>
      <w:r>
        <w:t xml:space="preserve">.</w:t>
      </w:r>
    </w:p>
  </w:footnote>
  <w:footnote w:id="32">
    <w:p>
      <w:pPr>
        <w:pStyle w:val="FootnoteText"/>
      </w:pPr>
      <w:r>
        <w:rPr>
          <w:rStyle w:val="FootnoteReference"/>
        </w:rPr>
        <w:footnoteRef/>
      </w:r>
      <w:r>
        <w:t xml:space="preserve"> </w:t>
      </w:r>
      <w:r>
        <w:t xml:space="preserve">In the case of the king, this seems to mean, that he was a favourite of Lakshmī, with whom Sītā is identified.</w:t>
      </w:r>
    </w:p>
  </w:footnote>
  <w:footnote w:id="33">
    <w:p>
      <w:pPr>
        <w:pStyle w:val="FootnoteText"/>
      </w:pPr>
      <w:r>
        <w:rPr>
          <w:rStyle w:val="FootnoteReference"/>
        </w:rPr>
        <w:footnoteRef/>
      </w:r>
      <w:r>
        <w:t xml:space="preserve"> </w:t>
      </w:r>
      <w:r>
        <w:t xml:space="preserve">As “the lotus-group” does not suit the context, I suspect that something has fallen out after</w:t>
      </w:r>
      <w:r>
        <w:t xml:space="preserve"> </w:t>
      </w:r>
      <w:r>
        <w:rPr>
          <w:i/>
          <w:iCs/>
        </w:rPr>
        <w:t xml:space="preserve">padmākara iva</w:t>
      </w:r>
      <w:r>
        <w:t xml:space="preserve">.</w:t>
      </w:r>
    </w:p>
  </w:footnote>
  <w:footnote w:id="34">
    <w:p>
      <w:pPr>
        <w:pStyle w:val="FootnoteText"/>
      </w:pPr>
      <w:r>
        <w:rPr>
          <w:rStyle w:val="FootnoteReference"/>
        </w:rPr>
        <w:footnoteRef/>
      </w:r>
      <w:r>
        <w:t xml:space="preserve"> </w:t>
      </w:r>
      <w:r>
        <w:t xml:space="preserve">This place is elsewhere called Podeṅgu.</w:t>
      </w:r>
    </w:p>
  </w:footnote>
  <w:footnote w:id="35">
    <w:p>
      <w:pPr>
        <w:pStyle w:val="FootnoteText"/>
      </w:pPr>
      <w:r>
        <w:rPr>
          <w:rStyle w:val="FootnoteReference"/>
        </w:rPr>
        <w:footnoteRef/>
      </w:r>
      <w:r>
        <w:t xml:space="preserve"> </w:t>
      </w:r>
      <w:r>
        <w:t xml:space="preserve">Elsewhere called Krovaśiri.</w:t>
      </w:r>
    </w:p>
  </w:footnote>
  <w:footnote w:id="36">
    <w:p>
      <w:pPr>
        <w:pStyle w:val="FootnoteText"/>
      </w:pPr>
      <w:r>
        <w:rPr>
          <w:rStyle w:val="FootnoteReference"/>
        </w:rPr>
        <w:footnoteRef/>
      </w:r>
      <w:r>
        <w:t xml:space="preserve"> </w:t>
      </w:r>
      <w:r>
        <w:t xml:space="preserve">This is left out in the translation, because the reading of the proper names is very uncertain owing to the bad preservation of this part of the grant.</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9" Target="https://dharmalekha.info/texts/INSSIIv01p0i0036" TargetMode="External" /><Relationship Type="http://schemas.openxmlformats.org/officeDocument/2006/relationships/hyperlink" Id="rId12" Target="https://dharmalekha.info/texts/INSSIIv01p0i0037" TargetMode="External" /><Relationship Type="http://schemas.openxmlformats.org/officeDocument/2006/relationships/hyperlink" Id="rId10" Target="https://dharmalekha.info/texts/INSSIIv01p0i0039" TargetMode="External" /><Relationship Type="http://schemas.openxmlformats.org/officeDocument/2006/relationships/hyperlink" Id="rId37" Target="https://dharmalekha.info/texts/INSVengiCalukya00021" TargetMode="External" /></Relationships>
</file>

<file path=word/_rels/footnotes.xml.rels><?xml version="1.0" encoding="UTF-8"?><Relationships xmlns="http://schemas.openxmlformats.org/package/2006/relationships"><Relationship Type="http://schemas.openxmlformats.org/officeDocument/2006/relationships/hyperlink" Id="rId19" Target="https://dharmalekha.info/texts/INSSIIv01p0i0036" TargetMode="External" /><Relationship Type="http://schemas.openxmlformats.org/officeDocument/2006/relationships/hyperlink" Id="rId12" Target="https://dharmalekha.info/texts/INSSIIv01p0i0037" TargetMode="External" /><Relationship Type="http://schemas.openxmlformats.org/officeDocument/2006/relationships/hyperlink" Id="rId10" Target="https://dharmalekha.info/texts/INSSIIv01p0i0039" TargetMode="External" /><Relationship Type="http://schemas.openxmlformats.org/officeDocument/2006/relationships/hyperlink" Id="rId37" Target="https://dharmalekha.info/texts/INSVengiCalukya00021"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SII 1.35: original edition by Eugen Hultzsch</dc:title>
  <dc:creator>Emmanuel Francis</dc:creator>
  <cp:keywords/>
  <dcterms:created xsi:type="dcterms:W3CDTF">2026-10-15T12:34:04Z</dcterms:created>
  <dcterms:modified xsi:type="dcterms:W3CDTF">2026-10-15T12:34:04Z</dcterms:modified>
</cp:coreProperties>
</file>

<file path=docProps/custom.xml><?xml version="1.0" encoding="utf-8"?>
<Properties xmlns="http://schemas.openxmlformats.org/officeDocument/2006/custom-properties" xmlns:vt="http://schemas.openxmlformats.org/officeDocument/2006/docPropsVTypes"/>
</file>