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Mēlpoṉpētti, private house, year Āṅgirasa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DHARMA_INSPondicherry00535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DHARMA_INSPondicherry00535.xml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2026-10-26 16:41 (c42c121)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the steps of a private house. Probably a hero stone in reuse. Ca 18th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Āṅkīra⟨ca⟩ ௵ vaiyyāci 10 l c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-maturāyaca [3+] ruvar Ayyaṉ k</w:t>
      </w:r>
      <w:r>
        <w:rPr>
          <w:rStyle w:val="ColorGray"/>
        </w:rPr>
        <w:t xml:space="preserve">⟨3⟩</w:t>
      </w:r>
      <w:r>
        <w:t xml:space="preserve">āriyattukē [3+] tavataraiyar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kōṭṭu-c-cēri paṭ=taṇavar ceṅ</w:t>
      </w:r>
      <w:r>
        <w:rPr>
          <w:rStyle w:val="ColorGray"/>
        </w:rPr>
        <w:t xml:space="preserve">⟨5⟩</w:t>
      </w:r>
      <w:r>
        <w:t xml:space="preserve">kaṇaccet=ti Ēṟaiyacceṭ=ti Ā</w:t>
      </w:r>
      <w:r>
        <w:rPr>
          <w:rStyle w:val="ColorGray"/>
        </w:rPr>
        <w:t xml:space="preserve">⟨6⟩</w:t>
      </w:r>
      <w:r>
        <w:t xml:space="preserve">latt-uṭaiya nampi Aṟam⟨va⟩ḷatta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nampi Uḷpaṭ=ṭāṟku kuṭutta ca</w:t>
      </w:r>
      <w:r>
        <w:rPr>
          <w:rStyle w:val="ColorGray"/>
        </w:rPr>
        <w:t xml:space="preserve">⟨8⟩</w:t>
      </w:r>
      <w:r>
        <w:t xml:space="preserve">ṟuva-māṉiyappaṭṭaiyam</w:t>
      </w:r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Inta Ūr-p paṭ=ṭaṇaccēri varu</w:t>
      </w:r>
      <w:r>
        <w:rPr>
          <w:rStyle w:val="ColorGray"/>
        </w:rPr>
        <w:t xml:space="preserve">⟨10⟩</w:t>
      </w:r>
      <w:r>
        <w:rPr>
          <w:b/>
          <w:bCs/>
        </w:rPr>
        <w:t xml:space="preserve">ṣa</w:t>
      </w:r>
      <w:r>
        <w:t xml:space="preserve">m Oṉṟuk=ku Ayyaṉ kaṭṭaḷai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poṉ Aṟupatu</w:t>
      </w:r>
    </w:p>
    <w:p>
      <w:pPr>
        <w:pStyle w:val="BodyText"/>
      </w:pPr>
      <w:r>
        <w:t xml:space="preserve">Inta-k kaṭ=ṭaḷai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Iṭ=ṭa⟨ti⟩l tarum poṉ Aṟupatukku</w:t>
      </w:r>
      <w:r>
        <w:rPr>
          <w:rStyle w:val="ColorGray"/>
        </w:rPr>
        <w:t xml:space="preserve">⟨13⟩</w:t>
      </w:r>
      <w:r>
        <w:t xml:space="preserve">ḷḷē Inta Ūril paravai mīṉu</w:t>
      </w:r>
      <w:r>
        <w:rPr>
          <w:rStyle w:val="ColorGray"/>
        </w:rPr>
        <w:t xml:space="preserve">⟨14⟩</w:t>
      </w:r>
      <w:r>
        <w:t xml:space="preserve">(m) paṭ=ṭaṇaccēri [4+] ttuṭa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ē ce</w:t>
      </w:r>
      <w:r>
        <w:rPr>
          <w:rStyle w:val="ColorGray"/>
        </w:rPr>
        <w:t xml:space="preserve">⟨15⟩</w:t>
      </w:r>
      <w:r>
        <w:t xml:space="preserve">(r)ntapaṭiyālē (nā)ḷatu mutal canti</w:t>
      </w:r>
      <w:r>
        <w:rPr>
          <w:rStyle w:val="ColorGray"/>
        </w:rPr>
        <w:t xml:space="preserve">⟨16⟩</w:t>
      </w:r>
      <w:r>
        <w:t xml:space="preserve">(r)ātittavaraiyum kōṭṭu-c-cēri paravai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mīṉ Uḷpaṭa paṭ=ṭaṇavarē Āṉu</w:t>
      </w:r>
      <w:r>
        <w:rPr>
          <w:rStyle w:val="ColorGray"/>
        </w:rPr>
        <w:t xml:space="preserve">⟨18⟩</w:t>
      </w:r>
      <w:r>
        <w:t xml:space="preserve">pavittu-k koḷḷavum</w:t>
      </w:r>
    </w:p>
    <w:p>
      <w:pPr>
        <w:pStyle w:val="BodyText"/>
      </w:pPr>
      <w:r>
        <w:t xml:space="preserve">y-inta mā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i</w:t>
      </w:r>
      <w:r>
        <w:rPr>
          <w:rStyle w:val="ColorGray"/>
        </w:rPr>
        <w:t xml:space="preserve">⟨19⟩</w:t>
      </w:r>
      <w:r>
        <w:t xml:space="preserve">yattai Iyātoruva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Aḻittavaṉ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In the year Āṅkīraca,</w:t>
      </w:r>
      <w:r>
        <w:rPr>
          <w:rStyle w:val="FootnoteReference"/>
        </w:rPr>
        <w:footnoteReference w:id="9"/>
      </w:r>
      <w:r>
        <w:t xml:space="preserve"> </w:t>
      </w:r>
      <w:r>
        <w:t xml:space="preserve">on the 10th day of Vaiyyāci.</w:t>
      </w:r>
    </w:p>
    <w:p>
      <w:pPr>
        <w:pStyle w:val="BodyText"/>
      </w:pPr>
      <w:r>
        <w:rPr>
          <w:rStyle w:val="ColorGray"/>
        </w:rPr>
        <w:t xml:space="preserve">⟨2–8⟩</w:t>
      </w:r>
      <w:r>
        <w:t xml:space="preserve"> </w:t>
      </w:r>
      <w:r>
        <w:t xml:space="preserve">The all free document given by […] tavataraiyar, the manager of śrī-Maturāyaca […] ruvar Ayyaṉ to Ceṅkaṇa-c-ceṭṭi, Ēṟaiya-c-ceṭṭi, Ālattuṭṭaiya Nampi and Aṟamvaḷatta Nampi, the</w:t>
      </w:r>
      <w:r>
        <w:t xml:space="preserve"> </w:t>
      </w:r>
      <w:r>
        <w:rPr>
          <w:i/>
          <w:iCs/>
        </w:rPr>
        <w:t xml:space="preserve">paṭṭaṇavar</w:t>
      </w:r>
      <w:r>
        <w:t xml:space="preserve"> </w:t>
      </w:r>
      <w:r>
        <w:t xml:space="preserve">of Kōṭṭuccēri ⟨is as follows⟩.</w:t>
      </w:r>
    </w:p>
    <w:p>
      <w:pPr>
        <w:pStyle w:val="BodyText"/>
      </w:pPr>
      <w:r>
        <w:rPr>
          <w:rStyle w:val="ColorGray"/>
        </w:rPr>
        <w:t xml:space="preserve">⟨9–11⟩</w:t>
      </w:r>
      <w:r>
        <w:t xml:space="preserve"> </w:t>
      </w:r>
      <w:r>
        <w:t xml:space="preserve">The amount of tax fixed by Ayyaṉ for the Paṭṭaṇa-c-cēri of this village is sixty gold ⟨coins⟩.</w:t>
      </w:r>
    </w:p>
    <w:p>
      <w:pPr>
        <w:pStyle w:val="BodyText"/>
      </w:pPr>
      <w:r>
        <w:rPr>
          <w:rStyle w:val="ColorGray"/>
        </w:rPr>
        <w:t xml:space="preserve">⟨11–18⟩</w:t>
      </w:r>
      <w:r>
        <w:t xml:space="preserve"> </w:t>
      </w:r>
      <w:r>
        <w:t xml:space="preserve">Since the sea fish and […] are inclusive in this sixty gold ⟨coins⟩ which is accrued in this order from this day onwards, let the</w:t>
      </w:r>
      <w:r>
        <w:t xml:space="preserve"> </w:t>
      </w:r>
      <w:r>
        <w:rPr>
          <w:i/>
          <w:iCs/>
        </w:rPr>
        <w:t xml:space="preserve">paṭṭaṇavar</w:t>
      </w:r>
      <w:r>
        <w:t xml:space="preserve"> </w:t>
      </w:r>
      <w:r>
        <w:t xml:space="preserve">(fishermen) themselves enjoy the benefits including the sea fish in Kōṭṭu-c-cēri.</w:t>
      </w:r>
    </w:p>
    <w:p>
      <w:pPr>
        <w:pStyle w:val="BodyText"/>
      </w:pPr>
      <w:r>
        <w:rPr>
          <w:rStyle w:val="ColorGray"/>
        </w:rPr>
        <w:t xml:space="preserve">⟨18–20⟩</w:t>
      </w:r>
      <w:r>
        <w:t xml:space="preserve"> </w:t>
      </w:r>
      <w:r>
        <w:t xml:space="preserve">Anyone who harmed this gift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⟨20⟩</w:t>
      </w:r>
      <w:r>
        <w:t xml:space="preserve"> </w:t>
      </w:r>
      <w:r>
        <w:t xml:space="preserve">Incomplete or unfinished inscription.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535) and translated in Kuppusamy &amp; Vijayavenugopal 2010 (PI 535).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522, item 535.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238, item 535.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 Āṅgīrasa = Āṅgirasa.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Mēlpoṉpētti, private house, year Āṅgirasa</dc:title>
  <dc:creator>Emmanuel Francis</dc:creator>
  <cp:keywords/>
  <dcterms:created xsi:type="dcterms:W3CDTF">2026-11-06T00:07:49Z</dcterms:created>
  <dcterms:modified xsi:type="dcterms:W3CDTF">2026-11-06T00:07:49Z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