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Tirupuvaṉai / Thirubhuvanai, Varadarāja Perumāḷ temple, time of Rājādhirāja, year 30</w:t>
      </w:r>
    </w:p>
    <w:p>
      <w:pPr>
        <w:pStyle w:val="Author"/>
      </w:pPr>
      <w:r>
        <w:t xml:space="preserve">Emmanuel Francis</w:t>
      </w:r>
    </w:p>
    <w:p>
      <w:pPr>
        <w:pStyle w:val="FirstParagraph"/>
      </w:pPr>
      <w:r>
        <w:t xml:space="preserve">Author of digital edition: Emmanuel Francis</w:t>
      </w:r>
    </w:p>
    <w:p>
      <w:pPr>
        <w:pStyle w:val="BodyText"/>
      </w:pPr>
      <w:r>
        <w:t xml:space="preserve">Identifier: DHARMA_INSPondicherry00102</w:t>
      </w:r>
    </w:p>
    <w:p>
      <w:pPr>
        <w:pStyle w:val="BodyText"/>
      </w:pPr>
      <w:r>
        <w:t xml:space="preserve">Repository: Pondicherry (tfa-pondicherry-epigraphy)</w:t>
      </w:r>
    </w:p>
    <w:p>
      <w:pPr>
        <w:pStyle w:val="BodyText"/>
      </w:pPr>
      <w:r>
        <w:t xml:space="preserve">File path: DHARMA_INSPondicherry00102.xml</w:t>
      </w:r>
    </w:p>
    <w:p>
      <w:pPr>
        <w:pStyle w:val="BodyText"/>
      </w:pPr>
      <w:r>
        <w:t xml:space="preserve">Language: Tamil [Grantha, Tamil]</w:t>
      </w:r>
    </w:p>
    <w:p>
      <w:pPr>
        <w:pStyle w:val="BodyText"/>
      </w:pPr>
      <w:r>
        <w:t xml:space="preserve">Commit: 2026-11-04 20:32 (e2dd903), last modified 2026-10-27 12:14 (3137dcf)</w:t>
      </w:r>
    </w:p>
    <w:p>
      <w:pPr>
        <w:pStyle w:val="Heading1"/>
      </w:pPr>
      <w:r>
        <w:t xml:space="preserve">Summary</w:t>
      </w:r>
    </w:p>
    <w:p>
      <w:pPr>
        <w:pStyle w:val="FirstParagraph"/>
      </w:pPr>
      <w:r>
        <w:t xml:space="preserve">North, west and east walls. Cōḻa, Rājādhirāja I Cōḻa, RY 30 = 1048 CE.</w:t>
      </w:r>
    </w:p>
    <w:p>
      <w:r>
        <w:pict>
          <v:rect style="width:0;height:1.5pt" o:hralign="center" o:hrstd="t" o:hr="t"/>
        </w:pict>
      </w:r>
    </w:p>
    <w:p>
      <w:pPr>
        <w:pStyle w:val="Heading1"/>
      </w:pPr>
      <w:r>
        <w:t xml:space="preserve">Edition</w:t>
      </w:r>
    </w:p>
    <w:p>
      <w:pPr>
        <w:pStyle w:val="FirstParagraph"/>
      </w:pPr>
      <w:r>
        <w:rPr>
          <w:rStyle w:val="ColorGray"/>
        </w:rPr>
        <w:t xml:space="preserve"> </w:t>
      </w:r>
      <w:r>
        <w:rPr>
          <w:rStyle w:val="ColorGray"/>
        </w:rPr>
        <w:t xml:space="preserve">⟨1⟩</w:t>
      </w:r>
      <w:r>
        <w:rPr>
          <w:rStyle w:val="ColorGray"/>
        </w:rPr>
        <w:t xml:space="preserve"> </w:t>
      </w:r>
      <w:r>
        <w:rPr>
          <w:b/>
          <w:bCs/>
        </w:rPr>
        <w:t xml:space="preserve">svasti śrī</w:t>
      </w:r>
    </w:p>
    <w:p>
      <w:pPr>
        <w:pStyle w:val="BodyText"/>
      </w:pPr>
      <w:r>
        <w:t xml:space="preserve">1.</w:t>
      </w:r>
      <w:r>
        <w:t xml:space="preserve"> </w:t>
      </w:r>
      <w:hyperlink r:id="rId9">
        <w:r>
          <w:rPr>
            <w:rStyle w:val="Hyperlink"/>
          </w:rPr>
          <w:t xml:space="preserve">Āciriyappā</w:t>
        </w:r>
      </w:hyperlink>
    </w:p>
    <w:p>
      <w:pPr>
        <w:pStyle w:val="BodyText"/>
      </w:pPr>
      <w:r>
        <w:t xml:space="preserve">tiṅkaḷēr taru ṟoṅkal veṇ-kuṭai-k k</w:t>
      </w:r>
      <w:r>
        <w:rPr>
          <w:rStyle w:val="ColorMagenta"/>
        </w:rPr>
        <w:t xml:space="preserve">¡i!</w:t>
      </w:r>
      <w:r>
        <w:rPr>
          <w:rStyle w:val="ColorBlue"/>
        </w:rPr>
        <w:t xml:space="preserve">⟨ī⟩</w:t>
      </w:r>
      <w:r>
        <w:t xml:space="preserve">ḻ</w:t>
      </w:r>
      <w:r>
        <w:br/>
      </w:r>
      <w:r>
        <w:t xml:space="preserve">...</w:t>
      </w:r>
      <w:r>
        <w:br/>
      </w:r>
      <w:r>
        <w:t xml:space="preserve">vi</w:t>
      </w:r>
      <w:r>
        <w:rPr>
          <w:b/>
          <w:bCs/>
        </w:rPr>
        <w:t xml:space="preserve">śva</w:t>
      </w:r>
      <w:r>
        <w:t xml:space="preserve">lōkattu</w:t>
      </w:r>
      <w:r>
        <w:rPr>
          <w:rStyle w:val="ColorGray"/>
        </w:rPr>
        <w:t xml:space="preserve"> </w:t>
      </w:r>
      <w:r>
        <w:rPr>
          <w:rStyle w:val="ColorGray"/>
        </w:rPr>
        <w:t xml:space="preserve">⟨5⟩</w:t>
      </w:r>
      <w:r>
        <w:rPr>
          <w:rStyle w:val="ColorGray"/>
        </w:rPr>
        <w:t xml:space="preserve"> </w:t>
      </w:r>
      <w:r>
        <w:t xml:space="preserve">viḷaṅka manuneṟi niṉṟ’</w:t>
      </w:r>
      <w:r>
        <w:br/>
      </w:r>
      <w:r>
        <w:t xml:space="preserve">a</w:t>
      </w:r>
      <w:r>
        <w:rPr>
          <w:b/>
          <w:bCs/>
        </w:rPr>
        <w:t xml:space="preserve">śva</w:t>
      </w:r>
      <w:r>
        <w:t xml:space="preserve">mēta(ñ) c(e)ytu aracu v</w:t>
      </w:r>
      <w:r>
        <w:rPr>
          <w:rStyle w:val="ColorMagenta"/>
        </w:rPr>
        <w:t xml:space="preserve">¡i!</w:t>
      </w:r>
      <w:r>
        <w:rPr>
          <w:rStyle w:val="ColorBlue"/>
        </w:rPr>
        <w:t xml:space="preserve">⟨ī⟩</w:t>
      </w:r>
      <w:r>
        <w:t xml:space="preserve">ṟṟirun=ta</w:t>
      </w:r>
      <w:r>
        <w:br/>
      </w:r>
      <w:r>
        <w:rPr>
          <w:b/>
          <w:bCs/>
        </w:rPr>
        <w:t xml:space="preserve">ja</w:t>
      </w:r>
      <w:r>
        <w:t xml:space="preserve">yaṅ-koṇṭa-cōḻa</w:t>
      </w:r>
      <w:r>
        <w:rPr>
          <w:rStyle w:val="ColorMagenta"/>
        </w:rPr>
        <w:t xml:space="preserve">¡n!</w:t>
      </w:r>
      <w:r>
        <w:rPr>
          <w:rStyle w:val="ColorBlue"/>
        </w:rPr>
        <w:t xml:space="preserve">⟨ṉ⟩</w:t>
      </w:r>
      <w:r>
        <w:t xml:space="preserve"> </w:t>
      </w:r>
      <w:r>
        <w:t xml:space="preserve">uyarn=ta perum-pukaḻ</w:t>
      </w:r>
    </w:p>
    <w:p>
      <w:pPr>
        <w:pStyle w:val="BodyText"/>
      </w:pPr>
      <w:r>
        <w:t xml:space="preserve">kō-v-irā</w:t>
      </w:r>
      <w:r>
        <w:rPr>
          <w:b/>
          <w:bCs/>
        </w:rPr>
        <w:t xml:space="preserve">ja</w:t>
      </w:r>
      <w:r>
        <w:t xml:space="preserve">-kēcari-vaṉmar-āṉa Uṭaiyār</w:t>
      </w:r>
      <w:r>
        <w:t xml:space="preserve"> </w:t>
      </w:r>
      <w:r>
        <w:rPr>
          <w:b/>
          <w:bCs/>
        </w:rPr>
        <w:t xml:space="preserve">śrī-rājādhirājade</w:t>
      </w:r>
      <w:r>
        <w:t xml:space="preserve">vaṟkku yāṇṭu muppat-āvatu</w:t>
      </w:r>
    </w:p>
    <w:p>
      <w:pPr>
        <w:pStyle w:val="BodyText"/>
      </w:pPr>
      <w:r>
        <w:rPr>
          <w:b/>
          <w:bCs/>
        </w:rPr>
        <w:t xml:space="preserve">rājen</w:t>
      </w:r>
      <w:r>
        <w:rPr>
          <w:rStyle w:val="ColorMagenta"/>
          <w:b/>
          <w:bCs/>
        </w:rPr>
        <w:t xml:space="preserve">¡t!</w:t>
      </w:r>
      <w:r>
        <w:rPr>
          <w:rStyle w:val="ColorBlue"/>
          <w:b/>
          <w:bCs/>
        </w:rPr>
        <w:t xml:space="preserve">⟨d⟩</w:t>
      </w:r>
      <w:r>
        <w:rPr>
          <w:b/>
          <w:bCs/>
        </w:rPr>
        <w:t xml:space="preserve">ra</w:t>
      </w:r>
      <w:r>
        <w:t xml:space="preserve">-cōḻa-vaḷanāṭṭu viḻupparaiya-nāṭṭu taṉiyūr</w:t>
      </w:r>
      <w:r>
        <w:t xml:space="preserve"> </w:t>
      </w:r>
      <w:r>
        <w:rPr>
          <w:b/>
          <w:bCs/>
        </w:rPr>
        <w:t xml:space="preserve">śrī</w:t>
      </w:r>
      <w:r>
        <w:t xml:space="preserve">-tiripuvaṉa-mātēvi-c-caruppēti-maṅkalattu-p peruṅ-kuṟi-p peru-makkaḷōm Ivv-āṭṭai miṉa-ṉāyaṟṟu-p putaṉkiḻamai peṟṟa Uttiratti nāṉṟu nam makaṉār cempiyaṉ umpaḷanāṭṭu m</w:t>
      </w:r>
      <w:r>
        <w:rPr>
          <w:rStyle w:val="ColorMagenta"/>
        </w:rPr>
        <w:t xml:space="preserve">¡u!</w:t>
      </w:r>
      <w:r>
        <w:rPr>
          <w:rStyle w:val="ColorBlue"/>
        </w:rPr>
        <w:t xml:space="preserve">⟨ū⟩</w:t>
      </w:r>
      <w:r>
        <w:t xml:space="preserve">vēn=tavēlār Eṭuppitta maṇṭapattē nirampa peruṅ-kuṟi kūṭi y-irun=tu paṇi-p-paṇiyāl paṇitta Eḻuttu</w:t>
      </w:r>
    </w:p>
    <w:p>
      <w:pPr>
        <w:pStyle w:val="BodyText"/>
      </w:pPr>
      <w:r>
        <w:t xml:space="preserve">nam m</w:t>
      </w:r>
      <w:r>
        <w:rPr>
          <w:rStyle w:val="ColorMagenta"/>
        </w:rPr>
        <w:t xml:space="preserve">¡u!</w:t>
      </w:r>
      <w:r>
        <w:rPr>
          <w:rStyle w:val="ColorBlue"/>
        </w:rPr>
        <w:t xml:space="preserve">⟨ū⟩</w:t>
      </w:r>
      <w:r>
        <w:t xml:space="preserve">la-teyvam naṭuvil</w:t>
      </w:r>
      <w:r>
        <w:t xml:space="preserve"> </w:t>
      </w:r>
      <w:r>
        <w:rPr>
          <w:b/>
          <w:bCs/>
        </w:rPr>
        <w:t xml:space="preserve">śrī</w:t>
      </w:r>
      <w:r>
        <w:t xml:space="preserve">v</w:t>
      </w:r>
      <w:r>
        <w:rPr>
          <w:rStyle w:val="ColorMagenta"/>
        </w:rPr>
        <w:t xml:space="preserve">¡i!</w:t>
      </w:r>
      <w:r>
        <w:rPr>
          <w:rStyle w:val="ColorBlue"/>
        </w:rPr>
        <w:t xml:space="preserve">⟨ī⟩</w:t>
      </w:r>
      <w:r>
        <w:t xml:space="preserve">ra-nārāyaṇaṉ viṇṇakar Āḻvār tiru-nāmattāl</w:t>
      </w:r>
      <w:r>
        <w:t xml:space="preserve"> </w:t>
      </w:r>
      <w:r>
        <w:rPr>
          <w:b/>
          <w:bCs/>
        </w:rPr>
        <w:t xml:space="preserve">se</w:t>
      </w:r>
      <w:r>
        <w:t xml:space="preserve">nāpatikaḷ I</w:t>
      </w:r>
      <w:r>
        <w:rPr>
          <w:b/>
          <w:bCs/>
        </w:rPr>
        <w:t xml:space="preserve">rājen</w:t>
      </w:r>
      <w:r>
        <w:rPr>
          <w:rStyle w:val="ColorMagenta"/>
          <w:b/>
          <w:bCs/>
        </w:rPr>
        <w:t xml:space="preserve">¡t!</w:t>
      </w:r>
      <w:r>
        <w:rPr>
          <w:rStyle w:val="ColorBlue"/>
          <w:b/>
          <w:bCs/>
        </w:rPr>
        <w:t xml:space="preserve">⟨d⟩</w:t>
      </w:r>
      <w:r>
        <w:rPr>
          <w:b/>
          <w:bCs/>
        </w:rPr>
        <w:t xml:space="preserve">ra</w:t>
      </w:r>
      <w:r>
        <w:t xml:space="preserve">-cōḻa-mā-vali-vāṇa</w:t>
      </w:r>
      <w:r>
        <w:rPr>
          <w:b/>
          <w:bCs/>
        </w:rPr>
        <w:t xml:space="preserve">rāja</w:t>
      </w:r>
      <w:r>
        <w:t xml:space="preserve">r Uṭaiyār</w:t>
      </w:r>
      <w:r>
        <w:t xml:space="preserve"> </w:t>
      </w:r>
      <w:r>
        <w:rPr>
          <w:b/>
          <w:bCs/>
        </w:rPr>
        <w:t xml:space="preserve">śrī-rājen</w:t>
      </w:r>
      <w:r>
        <w:rPr>
          <w:rStyle w:val="ColorMagenta"/>
          <w:b/>
          <w:bCs/>
        </w:rPr>
        <w:t xml:space="preserve">¡t!</w:t>
      </w:r>
      <w:r>
        <w:rPr>
          <w:rStyle w:val="ColorBlue"/>
          <w:b/>
          <w:bCs/>
        </w:rPr>
        <w:t xml:space="preserve">⟨d⟩</w:t>
      </w:r>
      <w:r>
        <w:rPr>
          <w:b/>
          <w:bCs/>
        </w:rPr>
        <w:t xml:space="preserve">ra</w:t>
      </w:r>
      <w:r>
        <w:t xml:space="preserve">-cōḻa-</w:t>
      </w:r>
      <w:r>
        <w:rPr>
          <w:b/>
          <w:bCs/>
        </w:rPr>
        <w:t xml:space="preserve">de</w:t>
      </w:r>
      <w:r>
        <w:t xml:space="preserve">var tiru</w:t>
      </w:r>
      <w:r>
        <w:rPr>
          <w:rStyle w:val="ColorGray"/>
        </w:rPr>
        <w:t xml:space="preserve">⟨6⟩</w:t>
      </w:r>
      <w:r>
        <w:t xml:space="preserve">-mēṉikku niṉṟāka vaitta</w:t>
      </w:r>
      <w:r>
        <w:t xml:space="preserve"> </w:t>
      </w:r>
      <w:r>
        <w:rPr>
          <w:b/>
          <w:bCs/>
        </w:rPr>
        <w:t xml:space="preserve">rājen</w:t>
      </w:r>
      <w:r>
        <w:rPr>
          <w:rStyle w:val="ColorMagenta"/>
          <w:b/>
          <w:bCs/>
        </w:rPr>
        <w:t xml:space="preserve">¡t!</w:t>
      </w:r>
      <w:r>
        <w:rPr>
          <w:rStyle w:val="ColorBlue"/>
          <w:b/>
          <w:bCs/>
        </w:rPr>
        <w:t xml:space="preserve">⟨d⟩</w:t>
      </w:r>
      <w:r>
        <w:rPr>
          <w:b/>
          <w:bCs/>
        </w:rPr>
        <w:t xml:space="preserve">ra</w:t>
      </w:r>
      <w:r>
        <w:t xml:space="preserve">cōḻaṉ ut(ta)mākkarattikku-k koṇṭa nilam āvatu</w:t>
      </w:r>
    </w:p>
    <w:p>
      <w:pPr>
        <w:pStyle w:val="BodyText"/>
      </w:pPr>
      <w:r>
        <w:t xml:space="preserve">namm-ūr vaṭa-piṭākai kō(k)kiḻānaṭi-p per-ēri k</w:t>
      </w:r>
      <w:r>
        <w:rPr>
          <w:rStyle w:val="ColorMagenta"/>
        </w:rPr>
        <w:t xml:space="preserve">¡i!</w:t>
      </w:r>
      <w:r>
        <w:rPr>
          <w:rStyle w:val="ColorBlue"/>
        </w:rPr>
        <w:t xml:space="preserve">⟨ī⟩</w:t>
      </w:r>
      <w:r>
        <w:t xml:space="preserve">ḻ-k koṭu</w:t>
      </w:r>
      <w:r>
        <w:rPr>
          <w:rStyle w:val="ColorGray"/>
        </w:rPr>
        <w:t xml:space="preserve">⟨7⟩</w:t>
      </w:r>
      <w:r>
        <w:t xml:space="preserve">kkūr-āṉa</w:t>
      </w:r>
      <w:r>
        <w:t xml:space="preserve"> </w:t>
      </w:r>
      <w:r>
        <w:rPr>
          <w:b/>
          <w:bCs/>
        </w:rPr>
        <w:t xml:space="preserve">rājen</w:t>
      </w:r>
      <w:r>
        <w:rPr>
          <w:rStyle w:val="ColorMagenta"/>
          <w:b/>
          <w:bCs/>
        </w:rPr>
        <w:t xml:space="preserve">¡t!</w:t>
      </w:r>
      <w:r>
        <w:rPr>
          <w:rStyle w:val="ColorBlue"/>
          <w:b/>
          <w:bCs/>
        </w:rPr>
        <w:t xml:space="preserve">⟨d⟩</w:t>
      </w:r>
      <w:r>
        <w:rPr>
          <w:b/>
          <w:bCs/>
        </w:rPr>
        <w:t xml:space="preserve">ra</w:t>
      </w:r>
      <w:r>
        <w:t xml:space="preserve">cōḻa-nallū⟨r⟩ nilam ...</w:t>
      </w:r>
    </w:p>
    <w:p>
      <w:pPr>
        <w:pStyle w:val="BodyText"/>
      </w:pPr>
      <w:r>
        <w:rPr>
          <w:rStyle w:val="ColorGray"/>
        </w:rPr>
        <w:t xml:space="preserve">⟨21⟩</w:t>
      </w:r>
      <w:r>
        <w:rPr>
          <w:rStyle w:val="ColorGray"/>
        </w:rPr>
        <w:t xml:space="preserve"> </w:t>
      </w:r>
      <w:r>
        <w:t xml:space="preserve">nel nūṟṟ’ irupatiṉ ... niccal paṭi Uṇṇum</w:t>
      </w:r>
      <w:r>
        <w:t xml:space="preserve"> </w:t>
      </w:r>
      <w:r>
        <w:rPr>
          <w:b/>
          <w:bCs/>
        </w:rPr>
        <w:t xml:space="preserve">śrī</w:t>
      </w:r>
      <w:r>
        <w:t xml:space="preserve">-vayi</w:t>
      </w:r>
      <w:r>
        <w:rPr>
          <w:b/>
          <w:bCs/>
        </w:rPr>
        <w:t xml:space="preserve">ṣṇa</w:t>
      </w:r>
      <w:r>
        <w:t xml:space="preserve">var pa</w:t>
      </w:r>
      <w:r>
        <w:rPr>
          <w:rStyle w:val="ColorMagenta"/>
        </w:rPr>
        <w:t xml:space="preserve">¡n!</w:t>
      </w:r>
      <w:r>
        <w:rPr>
          <w:rStyle w:val="ColorBlue"/>
        </w:rPr>
        <w:t xml:space="preserve">⟨ṉ⟩</w:t>
      </w:r>
      <w:r>
        <w:t xml:space="preserve">ṉiruvarkku nāḷ oṉṟukku nel kalamum tiruvarātaṉai ceyvāṉ Oruvaṉukku nel patakkum tiruvāymoḻi viṇṇappam cey</w:t>
      </w:r>
      <w:r>
        <w:rPr>
          <w:rStyle w:val="ColorGray"/>
        </w:rPr>
        <w:t xml:space="preserve">⟨22⟩</w:t>
      </w:r>
      <w:r>
        <w:t xml:space="preserve">vāṉ Oruvaṉukku nel mu-k-kuṟuṇi y-āka nālvarkku nel kalamum ...</w:t>
      </w:r>
      <w:r>
        <w:rPr>
          <w:rStyle w:val="ColorGray"/>
        </w:rPr>
        <w:t xml:space="preserve">⟨23⟩</w:t>
      </w:r>
      <w:r>
        <w:t xml:space="preserve">...</w:t>
      </w:r>
    </w:p>
    <w:p>
      <w:pPr>
        <w:pStyle w:val="FirstParagraph"/>
        <w:numPr>
          <w:ilvl w:val="0"/>
          <w:numId w:val="1001"/>
        </w:numPr>
      </w:pPr>
      <w:r>
        <w:t xml:space="preserve">vētān=tam vakkāṇippāṉ Oruvaṉukku nel kalanē patakkum</w:t>
      </w:r>
    </w:p>
    <w:p>
      <w:pPr>
        <w:pStyle w:val="FirstParagraph"/>
        <w:numPr>
          <w:ilvl w:val="0"/>
          <w:numId w:val="1001"/>
        </w:numPr>
      </w:pPr>
      <w:r>
        <w:rPr>
          <w:b/>
          <w:bCs/>
        </w:rPr>
        <w:t xml:space="preserve">m</w:t>
      </w:r>
      <w:r>
        <w:rPr>
          <w:rStyle w:val="ColorMagenta"/>
          <w:b/>
          <w:bCs/>
        </w:rPr>
        <w:t xml:space="preserve">¡i!</w:t>
      </w:r>
      <w:r>
        <w:rPr>
          <w:rStyle w:val="ColorBlue"/>
          <w:b/>
          <w:bCs/>
        </w:rPr>
        <w:t xml:space="preserve">⟨ī⟩</w:t>
      </w:r>
      <w:r>
        <w:rPr>
          <w:b/>
          <w:bCs/>
        </w:rPr>
        <w:t xml:space="preserve">māṁsai</w:t>
      </w:r>
      <w:r>
        <w:t xml:space="preserve"> </w:t>
      </w:r>
      <w:r>
        <w:t xml:space="preserve">vakkāṇippāṉ Oruvaṉukku nel kalamum</w:t>
      </w:r>
    </w:p>
    <w:p>
      <w:pPr>
        <w:pStyle w:val="FirstParagraph"/>
        <w:numPr>
          <w:ilvl w:val="0"/>
          <w:numId w:val="1001"/>
        </w:numPr>
      </w:pPr>
      <w:r>
        <w:t xml:space="preserve">viyākaraṇam vakkāṇippāṉ Oruvaṉukku nel Iru-tūṇi-k kuṟuṇiyum</w:t>
      </w:r>
    </w:p>
    <w:p>
      <w:pPr>
        <w:pStyle w:val="FirstParagraph"/>
        <w:numPr>
          <w:ilvl w:val="0"/>
          <w:numId w:val="1001"/>
        </w:numPr>
      </w:pPr>
      <w:r>
        <w:t xml:space="preserve">Ur</w:t>
      </w:r>
      <w:r>
        <w:rPr>
          <w:rStyle w:val="ColorMagenta"/>
        </w:rPr>
        <w:t xml:space="preserve">¡u!</w:t>
      </w:r>
      <w:r>
        <w:rPr>
          <w:rStyle w:val="ColorBlue"/>
        </w:rPr>
        <w:t xml:space="preserve">⟨ū⟩</w:t>
      </w:r>
      <w:r>
        <w:t xml:space="preserve">pāvatāraṅ kēṭpippāṉ Oruvaṉukku nel tūṇi-p patakkum</w:t>
      </w:r>
    </w:p>
    <w:p>
      <w:pPr>
        <w:pStyle w:val="FirstParagraph"/>
        <w:numPr>
          <w:ilvl w:val="0"/>
          <w:numId w:val="1001"/>
        </w:numPr>
      </w:pPr>
      <w:r>
        <w:t xml:space="preserve">mā-pāratamum</w:t>
      </w:r>
      <w:r>
        <w:t xml:space="preserve"> </w:t>
      </w:r>
      <w:r>
        <w:rPr>
          <w:b/>
          <w:bCs/>
        </w:rPr>
        <w:t xml:space="preserve">śrī-rā</w:t>
      </w:r>
      <w:r>
        <w:t xml:space="preserve">māyaṇamum vācippāṉ Oruvaṉukku nel Iru-tuṇi-k kuṟu</w:t>
      </w:r>
      <w:r>
        <w:rPr>
          <w:rStyle w:val="ColorGray"/>
        </w:rPr>
        <w:t xml:space="preserve">⟨24⟩</w:t>
      </w:r>
      <w:r>
        <w:t xml:space="preserve">ṇiyum</w:t>
      </w:r>
    </w:p>
    <w:p>
      <w:pPr>
        <w:pStyle w:val="FirstParagraph"/>
        <w:numPr>
          <w:ilvl w:val="0"/>
          <w:numId w:val="1001"/>
        </w:numPr>
      </w:pPr>
      <w:r>
        <w:rPr>
          <w:b/>
          <w:bCs/>
        </w:rPr>
        <w:t xml:space="preserve">śrī</w:t>
      </w:r>
      <w:r>
        <w:t xml:space="preserve">-maṉucāttiram kēṭpippāṉ Oruvaṉukku nel tūṇiyum</w:t>
      </w:r>
    </w:p>
    <w:p>
      <w:pPr>
        <w:pStyle w:val="FirstParagraph"/>
        <w:numPr>
          <w:ilvl w:val="0"/>
          <w:numId w:val="1001"/>
        </w:numPr>
      </w:pPr>
      <w:r>
        <w:rPr>
          <w:b/>
          <w:bCs/>
        </w:rPr>
        <w:t xml:space="preserve">śrī</w:t>
      </w:r>
      <w:r>
        <w:t xml:space="preserve">-vaikāna</w:t>
      </w:r>
      <w:r>
        <w:rPr>
          <w:b/>
          <w:bCs/>
        </w:rPr>
        <w:t xml:space="preserve">sa</w:t>
      </w:r>
      <w:r>
        <w:t xml:space="preserve">m Ōtuvippāṉ Oruvaṉukku nel mu-k-kuṟuṇiyum</w:t>
      </w:r>
    </w:p>
    <w:p>
      <w:pPr>
        <w:pStyle w:val="FirstParagraph"/>
        <w:numPr>
          <w:ilvl w:val="0"/>
          <w:numId w:val="1001"/>
        </w:numPr>
      </w:pPr>
      <w:r>
        <w:t xml:space="preserve">Irukku-vētam Apūrvvam Ōtuvār Aṟupatinmarum</w:t>
      </w:r>
    </w:p>
    <w:p>
      <w:pPr>
        <w:pStyle w:val="FirstParagraph"/>
        <w:numPr>
          <w:ilvl w:val="0"/>
          <w:numId w:val="1001"/>
        </w:numPr>
      </w:pPr>
      <w:r>
        <w:t xml:space="preserve">ya</w:t>
      </w:r>
      <w:r>
        <w:rPr>
          <w:b/>
          <w:bCs/>
        </w:rPr>
        <w:t xml:space="preserve">jurve</w:t>
      </w:r>
      <w:r>
        <w:t xml:space="preserve">tam Apūrvvam Ōtuvār Aṟupatinmarum</w:t>
      </w:r>
    </w:p>
    <w:p>
      <w:pPr>
        <w:pStyle w:val="FirstParagraph"/>
        <w:numPr>
          <w:ilvl w:val="0"/>
          <w:numId w:val="1001"/>
        </w:numPr>
      </w:pPr>
      <w:r>
        <w:rPr>
          <w:b/>
          <w:bCs/>
        </w:rPr>
        <w:t xml:space="preserve">sa</w:t>
      </w:r>
      <w:r>
        <w:t xml:space="preserve">ntōka</w:t>
      </w:r>
      <w:r>
        <w:rPr>
          <w:b/>
          <w:bCs/>
        </w:rPr>
        <w:t xml:space="preserve">sā</w:t>
      </w:r>
      <w:r>
        <w:t xml:space="preserve">mam Ō(tu)vār Irupatiṉmarum</w:t>
      </w:r>
    </w:p>
    <w:p>
      <w:pPr>
        <w:pStyle w:val="FirstParagraph"/>
        <w:numPr>
          <w:ilvl w:val="0"/>
          <w:numId w:val="1001"/>
        </w:numPr>
      </w:pPr>
      <w:r>
        <w:t xml:space="preserve">talavukāra</w:t>
      </w:r>
      <w:r>
        <w:rPr>
          <w:b/>
          <w:bCs/>
        </w:rPr>
        <w:t xml:space="preserve">sā</w:t>
      </w:r>
      <w:r>
        <w:t xml:space="preserve">mamum Apūrvvamum va</w:t>
      </w:r>
      <w:r>
        <w:rPr>
          <w:b/>
          <w:bCs/>
        </w:rPr>
        <w:t xml:space="preserve">jasa</w:t>
      </w:r>
      <w:r>
        <w:t xml:space="preserve">nēyamum</w:t>
      </w:r>
      <w:r>
        <w:t xml:space="preserve"> </w:t>
      </w:r>
      <w:r>
        <w:rPr>
          <w:b/>
          <w:bCs/>
        </w:rPr>
        <w:t xml:space="preserve">bo</w:t>
      </w:r>
      <w:r>
        <w:t xml:space="preserve">tāniya-</w:t>
      </w:r>
      <w:r>
        <w:rPr>
          <w:b/>
          <w:bCs/>
        </w:rPr>
        <w:t xml:space="preserve">sū</w:t>
      </w:r>
      <w:r>
        <w:t xml:space="preserve">ttiramum</w:t>
      </w:r>
      <w:r>
        <w:t xml:space="preserve"> </w:t>
      </w:r>
      <w:r>
        <w:rPr>
          <w:b/>
          <w:bCs/>
        </w:rPr>
        <w:t xml:space="preserve">sattūṣāṭa-sū</w:t>
      </w:r>
      <w:r>
        <w:t xml:space="preserve">ttiramum Ōtuvar Ai⟨m⟩patinmarum</w:t>
      </w:r>
    </w:p>
    <w:p>
      <w:pPr>
        <w:pStyle w:val="FirstParagraph"/>
      </w:pPr>
      <w:r>
        <w:t xml:space="preserve">Āka ṉūṟṟu-t toṇṇūṟṟuvarku pērāl nel Aṟu nāḻiyāka nel pati</w:t>
      </w:r>
      <w:r>
        <w:rPr>
          <w:rStyle w:val="ColorMagenta"/>
        </w:rPr>
        <w:t xml:space="preserve">¡n!</w:t>
      </w:r>
      <w:r>
        <w:rPr>
          <w:rStyle w:val="ColorBlue"/>
        </w:rPr>
        <w:t xml:space="preserve">⟨ṉ⟩</w:t>
      </w:r>
      <w:r>
        <w:t xml:space="preserve"> </w:t>
      </w:r>
      <w:r>
        <w:t xml:space="preserve">oru kalanē Iru-tūṇi-p patakku nāṉāḷiyum</w:t>
      </w:r>
    </w:p>
    <w:p>
      <w:pPr>
        <w:pStyle w:val="BodyText"/>
      </w:pPr>
      <w:r>
        <w:t xml:space="preserve">...</w:t>
      </w:r>
      <w:r>
        <w:rPr>
          <w:rStyle w:val="ColorGray"/>
        </w:rPr>
        <w:t xml:space="preserve">⟨25⟩</w:t>
      </w:r>
      <w:r>
        <w:t xml:space="preserve">...</w:t>
      </w:r>
      <w:r>
        <w:rPr>
          <w:rStyle w:val="ColorGray"/>
        </w:rPr>
        <w:t xml:space="preserve">⟨42⟩</w:t>
      </w:r>
      <w:r>
        <w:t xml:space="preserve">...</w:t>
      </w:r>
    </w:p>
    <w:p>
      <w:pPr>
        <w:pStyle w:val="BodyText"/>
      </w:pPr>
      <w:r>
        <w:t xml:space="preserve">I</w:t>
      </w:r>
      <w:r>
        <w:rPr>
          <w:b/>
          <w:bCs/>
        </w:rPr>
        <w:t xml:space="preserve">dhamma śrī-vaiṣṇa</w:t>
      </w:r>
      <w:r>
        <w:t xml:space="preserve">va</w:t>
      </w:r>
      <w:r>
        <w:rPr>
          <w:b/>
          <w:bCs/>
        </w:rPr>
        <w:t xml:space="preserve">r rakṣai</w:t>
      </w:r>
    </w:p>
    <w:p>
      <w:pPr>
        <w:pStyle w:val="Heading1"/>
      </w:pPr>
      <w:r>
        <w:t xml:space="preserve">Translation by Kuppusamy &amp; Vijayavenugopal 2010</w:t>
      </w:r>
    </w:p>
    <w:p>
      <w:pPr>
        <w:pStyle w:val="FirstParagraph"/>
      </w:pPr>
      <w:r>
        <w:rPr>
          <w:rStyle w:val="ColorGray"/>
        </w:rPr>
        <w:t xml:space="preserve">⟨1⟩</w:t>
      </w:r>
      <w:r>
        <w:t xml:space="preserve"> </w:t>
      </w:r>
      <w:r>
        <w:t xml:space="preserve">Hail! Prosperity!</w:t>
      </w:r>
    </w:p>
    <w:p>
      <w:pPr>
        <w:pStyle w:val="BodyText"/>
      </w:pPr>
      <w:r>
        <w:rPr>
          <w:rStyle w:val="ColorGray"/>
        </w:rPr>
        <w:t xml:space="preserve">⟨1–5⟩</w:t>
      </w:r>
      <w:r>
        <w:t xml:space="preserve"> </w:t>
      </w:r>
      <w:r>
        <w:t xml:space="preserve">While the goddess of the earth was beaming under his fringed white parasol, which resembled the moon in beauty, ⟨the king⟩ wedded the goddess of fortune, wielded the scepter, and destroyed the dark Kali ⟨age⟩, ...</w:t>
      </w:r>
    </w:p>
    <w:p>
      <w:pPr>
        <w:pStyle w:val="BodyText"/>
      </w:pPr>
      <w:r>
        <w:rPr>
          <w:rStyle w:val="ColorGray"/>
        </w:rPr>
        <w:t xml:space="preserve">⟨5⟩</w:t>
      </w:r>
      <w:r>
        <w:t xml:space="preserve"> </w:t>
      </w:r>
      <w:r>
        <w:t xml:space="preserve">Year 30 ⟨of the reign of⟩ king Rājakēcarivaṉmar alias Lord śrī-Rājādhirāja-devar.</w:t>
      </w:r>
    </w:p>
    <w:p>
      <w:pPr>
        <w:pStyle w:val="BodyText"/>
      </w:pPr>
      <w:r>
        <w:rPr>
          <w:rStyle w:val="ColorGray"/>
        </w:rPr>
        <w:t xml:space="preserve">⟨5⟩</w:t>
      </w:r>
      <w:r>
        <w:t xml:space="preserve"> </w:t>
      </w:r>
      <w:r>
        <w:t xml:space="preserve">The document ordered by us, the members of the great assembly of Tiripuvaṉamātēvi-c-caturvētimaṅkalam, an autonomous village in Viḻupparaiya-nāṭu in Rājendracōḻa-vaḷanāṭu after having assembled in full in the hall erected by our son, Cempiyaṉ Umpaḷanāṭṭu Mūvēntavēḷār, on Wednesday when the asterism Uttiraṭṭāti was current in the month of Mīṉa in this year ⟨is as follows⟩.</w:t>
      </w:r>
    </w:p>
    <w:p>
      <w:pPr>
        <w:pStyle w:val="BodyText"/>
      </w:pPr>
      <w:r>
        <w:rPr>
          <w:rStyle w:val="ColorGray"/>
        </w:rPr>
        <w:t xml:space="preserve">⟨5–6⟩</w:t>
      </w:r>
      <w:r>
        <w:t xml:space="preserve"> </w:t>
      </w:r>
      <w:r>
        <w:t xml:space="preserve">The land we got for a special food offering called Rājendracōḻaṉ</w:t>
      </w:r>
      <w:r>
        <w:t xml:space="preserve"> </w:t>
      </w:r>
      <w:r>
        <w:rPr>
          <w:i/>
          <w:iCs/>
        </w:rPr>
        <w:t xml:space="preserve">uttamākkaram</w:t>
      </w:r>
      <w:r>
        <w:t xml:space="preserve">, for the betterment of the sacred body of Lord śrī-Rājendracōḻa-devar in the name of śrī-Vīranārāyaṇa-viṇṇakar Āḻvār, our main deity in the centre ⟨of our village⟩ endowed by Rājendracōḻa-māvali-vāṇarājar, commander in chief of the army is ⟨as follows⟩.</w:t>
      </w:r>
    </w:p>
    <w:p>
      <w:pPr>
        <w:pStyle w:val="BodyText"/>
      </w:pPr>
      <w:r>
        <w:rPr>
          <w:rStyle w:val="ColorGray"/>
        </w:rPr>
        <w:t xml:space="preserve">⟨6–⟩</w:t>
      </w:r>
    </w:p>
    <w:p>
      <w:pPr>
        <w:pStyle w:val="BodyText"/>
      </w:pPr>
      <w:r>
        <w:rPr>
          <w:rStyle w:val="ColorGray"/>
        </w:rPr>
        <w:t xml:space="preserve">⟨23–24⟩</w:t>
      </w:r>
    </w:p>
    <w:p>
      <w:pPr>
        <w:pStyle w:val="FirstParagraph"/>
        <w:numPr>
          <w:ilvl w:val="0"/>
          <w:numId w:val="1002"/>
        </w:numPr>
      </w:pPr>
      <w:r>
        <w:t xml:space="preserve">One</w:t>
      </w:r>
      <w:r>
        <w:t xml:space="preserve"> </w:t>
      </w:r>
      <w:r>
        <w:rPr>
          <w:i/>
          <w:iCs/>
        </w:rPr>
        <w:t xml:space="preserve">kalam</w:t>
      </w:r>
      <w:r>
        <w:t xml:space="preserve"> </w:t>
      </w:r>
      <w:r>
        <w:t xml:space="preserve">and one</w:t>
      </w:r>
      <w:r>
        <w:t xml:space="preserve"> </w:t>
      </w:r>
      <w:r>
        <w:rPr>
          <w:i/>
          <w:iCs/>
        </w:rPr>
        <w:t xml:space="preserve">patakku</w:t>
      </w:r>
      <w:r>
        <w:t xml:space="preserve"> </w:t>
      </w:r>
      <w:r>
        <w:t xml:space="preserve">of paddy for one person who gives exposition to Vedānta,</w:t>
      </w:r>
    </w:p>
    <w:p>
      <w:pPr>
        <w:pStyle w:val="FirstParagraph"/>
        <w:numPr>
          <w:ilvl w:val="0"/>
          <w:numId w:val="1002"/>
        </w:numPr>
      </w:pPr>
      <w:r>
        <w:t xml:space="preserve">one</w:t>
      </w:r>
      <w:r>
        <w:t xml:space="preserve"> </w:t>
      </w:r>
      <w:r>
        <w:rPr>
          <w:i/>
          <w:iCs/>
        </w:rPr>
        <w:t xml:space="preserve">kalam</w:t>
      </w:r>
      <w:r>
        <w:t xml:space="preserve"> </w:t>
      </w:r>
      <w:r>
        <w:t xml:space="preserve">of paddy for one person who gives exposition to Mīmāṁsā (</w:t>
      </w:r>
      <w:r>
        <w:rPr>
          <w:b/>
          <w:bCs/>
          <w:i/>
          <w:iCs/>
        </w:rPr>
        <w:t xml:space="preserve">m</w:t>
      </w:r>
      <w:r>
        <w:rPr>
          <w:rStyle w:val="ColorMagenta"/>
          <w:b/>
          <w:bCs/>
          <w:i/>
          <w:iCs/>
        </w:rPr>
        <w:t xml:space="preserve">¡i!</w:t>
      </w:r>
      <w:r>
        <w:rPr>
          <w:rStyle w:val="ColorBlue"/>
          <w:b/>
          <w:bCs/>
          <w:i/>
          <w:iCs/>
        </w:rPr>
        <w:t xml:space="preserve">⟨ī⟩</w:t>
      </w:r>
      <w:r>
        <w:rPr>
          <w:b/>
          <w:bCs/>
          <w:i/>
          <w:iCs/>
        </w:rPr>
        <w:t xml:space="preserve">māṁsai</w:t>
      </w:r>
      <w:r>
        <w:t xml:space="preserve">),</w:t>
      </w:r>
    </w:p>
    <w:p>
      <w:pPr>
        <w:pStyle w:val="FirstParagraph"/>
        <w:numPr>
          <w:ilvl w:val="0"/>
          <w:numId w:val="1002"/>
        </w:numPr>
      </w:pPr>
      <w:r>
        <w:t xml:space="preserve">two</w:t>
      </w:r>
      <w:r>
        <w:t xml:space="preserve"> </w:t>
      </w:r>
      <w:r>
        <w:rPr>
          <w:i/>
          <w:iCs/>
        </w:rPr>
        <w:t xml:space="preserve">tūṇi</w:t>
      </w:r>
      <w:r>
        <w:t xml:space="preserve">s and one</w:t>
      </w:r>
      <w:r>
        <w:t xml:space="preserve"> </w:t>
      </w:r>
      <w:r>
        <w:rPr>
          <w:i/>
          <w:iCs/>
        </w:rPr>
        <w:t xml:space="preserve">kuṟuṇi</w:t>
      </w:r>
      <w:r>
        <w:t xml:space="preserve"> </w:t>
      </w:r>
      <w:r>
        <w:t xml:space="preserve">of paddy for one person who gives exposition to grammar (</w:t>
      </w:r>
      <w:r>
        <w:rPr>
          <w:i/>
          <w:iCs/>
        </w:rPr>
        <w:t xml:space="preserve">viyākaraṇam</w:t>
      </w:r>
      <w:r>
        <w:t xml:space="preserve"> </w:t>
      </w:r>
      <w:r>
        <w:t xml:space="preserve">=</w:t>
      </w:r>
      <w:r>
        <w:t xml:space="preserve"> </w:t>
      </w:r>
      <w:r>
        <w:rPr>
          <w:i/>
          <w:iCs/>
        </w:rPr>
        <w:t xml:space="preserve">vyākaraṇa</w:t>
      </w:r>
      <w:r>
        <w:t xml:space="preserve">),</w:t>
      </w:r>
    </w:p>
    <w:p>
      <w:pPr>
        <w:pStyle w:val="FirstParagraph"/>
        <w:numPr>
          <w:ilvl w:val="0"/>
          <w:numId w:val="1002"/>
        </w:numPr>
      </w:pPr>
      <w:r>
        <w:t xml:space="preserve">⟨one</w:t>
      </w:r>
      <w:r>
        <w:t xml:space="preserve"> </w:t>
      </w:r>
      <w:r>
        <w:rPr>
          <w:i/>
          <w:iCs/>
        </w:rPr>
        <w:t xml:space="preserve">tūṇi</w:t>
      </w:r>
      <w:r>
        <w:t xml:space="preserve"> </w:t>
      </w:r>
      <w:r>
        <w:t xml:space="preserve">and one</w:t>
      </w:r>
      <w:r>
        <w:t xml:space="preserve"> </w:t>
      </w:r>
      <w:r>
        <w:rPr>
          <w:i/>
          <w:iCs/>
        </w:rPr>
        <w:t xml:space="preserve">patakku</w:t>
      </w:r>
      <w:r>
        <w:t xml:space="preserve"> </w:t>
      </w:r>
      <w:r>
        <w:t xml:space="preserve">of paddy for on person who studies Rūpāvātara (</w:t>
      </w:r>
      <w:r>
        <w:rPr>
          <w:i/>
          <w:iCs/>
        </w:rPr>
        <w:t xml:space="preserve">Ur</w:t>
      </w:r>
      <w:r>
        <w:rPr>
          <w:rStyle w:val="ColorMagenta"/>
          <w:i/>
          <w:iCs/>
        </w:rPr>
        <w:t xml:space="preserve">¡u!</w:t>
      </w:r>
      <w:r>
        <w:rPr>
          <w:rStyle w:val="ColorBlue"/>
          <w:i/>
          <w:iCs/>
        </w:rPr>
        <w:t xml:space="preserve">⟨ū⟩</w:t>
      </w:r>
      <w:r>
        <w:rPr>
          <w:i/>
          <w:iCs/>
        </w:rPr>
        <w:t xml:space="preserve">pāvatāram</w:t>
      </w:r>
      <w:r>
        <w:t xml:space="preserve">),⟩</w:t>
      </w:r>
    </w:p>
    <w:p>
      <w:pPr>
        <w:pStyle w:val="FirstParagraph"/>
        <w:numPr>
          <w:ilvl w:val="0"/>
          <w:numId w:val="1002"/>
        </w:numPr>
      </w:pPr>
      <w:r>
        <w:t xml:space="preserve">two</w:t>
      </w:r>
      <w:r>
        <w:t xml:space="preserve"> </w:t>
      </w:r>
      <w:r>
        <w:rPr>
          <w:i/>
          <w:iCs/>
        </w:rPr>
        <w:t xml:space="preserve">tūṇi</w:t>
      </w:r>
      <w:r>
        <w:t xml:space="preserve">s and one</w:t>
      </w:r>
      <w:r>
        <w:t xml:space="preserve"> </w:t>
      </w:r>
      <w:r>
        <w:rPr>
          <w:i/>
          <w:iCs/>
        </w:rPr>
        <w:t xml:space="preserve">kuṟuṇi</w:t>
      </w:r>
      <w:r>
        <w:t xml:space="preserve"> </w:t>
      </w:r>
      <w:r>
        <w:t xml:space="preserve">of paddy who reads Mahābhārata (</w:t>
      </w:r>
      <w:r>
        <w:rPr>
          <w:i/>
          <w:iCs/>
        </w:rPr>
        <w:t xml:space="preserve">mā-pāratam</w:t>
      </w:r>
      <w:r>
        <w:t xml:space="preserve">) and śrī-Rāmāyaṇa (</w:t>
      </w:r>
      <w:r>
        <w:rPr>
          <w:b/>
          <w:bCs/>
          <w:i/>
          <w:iCs/>
        </w:rPr>
        <w:t xml:space="preserve">śrī-rā</w:t>
      </w:r>
      <w:r>
        <w:rPr>
          <w:i/>
          <w:iCs/>
        </w:rPr>
        <w:t xml:space="preserve">māyaṇam</w:t>
      </w:r>
      <w:r>
        <w:t xml:space="preserve">),</w:t>
      </w:r>
    </w:p>
    <w:p>
      <w:pPr>
        <w:pStyle w:val="FirstParagraph"/>
        <w:numPr>
          <w:ilvl w:val="0"/>
          <w:numId w:val="1002"/>
        </w:numPr>
      </w:pPr>
      <w:r>
        <w:t xml:space="preserve">one</w:t>
      </w:r>
      <w:r>
        <w:t xml:space="preserve"> </w:t>
      </w:r>
      <w:r>
        <w:rPr>
          <w:i/>
          <w:iCs/>
        </w:rPr>
        <w:t xml:space="preserve">tūṇi</w:t>
      </w:r>
      <w:r>
        <w:t xml:space="preserve"> </w:t>
      </w:r>
      <w:r>
        <w:t xml:space="preserve">of paddy for one person who teaches śrī-Manu-śāstra (</w:t>
      </w:r>
      <w:r>
        <w:rPr>
          <w:b/>
          <w:bCs/>
          <w:i/>
          <w:iCs/>
        </w:rPr>
        <w:t xml:space="preserve">śrī</w:t>
      </w:r>
      <w:r>
        <w:rPr>
          <w:i/>
          <w:iCs/>
        </w:rPr>
        <w:t xml:space="preserve">-maṉucāttiram</w:t>
      </w:r>
      <w:r>
        <w:t xml:space="preserve">),</w:t>
      </w:r>
    </w:p>
    <w:p>
      <w:pPr>
        <w:pStyle w:val="FirstParagraph"/>
        <w:numPr>
          <w:ilvl w:val="0"/>
          <w:numId w:val="1002"/>
        </w:numPr>
      </w:pPr>
      <w:r>
        <w:t xml:space="preserve">three</w:t>
      </w:r>
      <w:r>
        <w:t xml:space="preserve"> </w:t>
      </w:r>
      <w:r>
        <w:rPr>
          <w:i/>
          <w:iCs/>
        </w:rPr>
        <w:t xml:space="preserve">kuṟuṇi</w:t>
      </w:r>
      <w:r>
        <w:t xml:space="preserve">s of paddy for one person who teaches śrī-Vaikhānasa,</w:t>
      </w:r>
    </w:p>
    <w:p>
      <w:pPr>
        <w:pStyle w:val="FirstParagraph"/>
        <w:numPr>
          <w:ilvl w:val="0"/>
          <w:numId w:val="1002"/>
        </w:numPr>
      </w:pPr>
      <w:r>
        <w:t xml:space="preserve">60 people who study R̥g-veda (</w:t>
      </w:r>
      <w:r>
        <w:rPr>
          <w:i/>
          <w:iCs/>
        </w:rPr>
        <w:t xml:space="preserve">Irukku-vētam</w:t>
      </w:r>
      <w:r>
        <w:t xml:space="preserve">)and Apūrva (</w:t>
      </w:r>
      <w:r>
        <w:rPr>
          <w:i/>
          <w:iCs/>
        </w:rPr>
        <w:t xml:space="preserve">Apūrvvam</w:t>
      </w:r>
      <w:r>
        <w:t xml:space="preserve">),</w:t>
      </w:r>
    </w:p>
    <w:p>
      <w:pPr>
        <w:pStyle w:val="FirstParagraph"/>
        <w:numPr>
          <w:ilvl w:val="0"/>
          <w:numId w:val="1002"/>
        </w:numPr>
      </w:pPr>
      <w:r>
        <w:t xml:space="preserve">60 people who study Yajurveda (</w:t>
      </w:r>
      <w:r>
        <w:rPr>
          <w:i/>
          <w:iCs/>
        </w:rPr>
        <w:t xml:space="preserve">ya</w:t>
      </w:r>
      <w:r>
        <w:rPr>
          <w:b/>
          <w:bCs/>
          <w:i/>
          <w:iCs/>
        </w:rPr>
        <w:t xml:space="preserve">jurve</w:t>
      </w:r>
      <w:r>
        <w:rPr>
          <w:i/>
          <w:iCs/>
        </w:rPr>
        <w:t xml:space="preserve">tam</w:t>
      </w:r>
      <w:r>
        <w:t xml:space="preserve">) and Apūrva,</w:t>
      </w:r>
    </w:p>
    <w:p>
      <w:pPr>
        <w:pStyle w:val="FirstParagraph"/>
        <w:numPr>
          <w:ilvl w:val="0"/>
          <w:numId w:val="1002"/>
        </w:numPr>
      </w:pPr>
      <w:r>
        <w:t xml:space="preserve">20 people who study Sandoha-sāma (</w:t>
      </w:r>
      <w:r>
        <w:rPr>
          <w:b/>
          <w:bCs/>
          <w:i/>
          <w:iCs/>
        </w:rPr>
        <w:t xml:space="preserve">sa</w:t>
      </w:r>
      <w:r>
        <w:rPr>
          <w:i/>
          <w:iCs/>
        </w:rPr>
        <w:t xml:space="preserve">ntōka</w:t>
      </w:r>
      <w:r>
        <w:rPr>
          <w:b/>
          <w:bCs/>
          <w:i/>
          <w:iCs/>
        </w:rPr>
        <w:t xml:space="preserve">sā</w:t>
      </w:r>
      <w:r>
        <w:rPr>
          <w:i/>
          <w:iCs/>
        </w:rPr>
        <w:t xml:space="preserve">mam</w:t>
      </w:r>
      <w:r>
        <w:t xml:space="preserve">),</w:t>
      </w:r>
    </w:p>
    <w:p>
      <w:pPr>
        <w:pStyle w:val="FirstParagraph"/>
        <w:numPr>
          <w:ilvl w:val="0"/>
          <w:numId w:val="1002"/>
        </w:numPr>
      </w:pPr>
      <w:r>
        <w:t xml:space="preserve">50 people who study Talavukārasāma (</w:t>
      </w:r>
      <w:r>
        <w:rPr>
          <w:i/>
          <w:iCs/>
        </w:rPr>
        <w:t xml:space="preserve">talavukāra</w:t>
      </w:r>
      <w:r>
        <w:rPr>
          <w:b/>
          <w:bCs/>
          <w:i/>
          <w:iCs/>
        </w:rPr>
        <w:t xml:space="preserve">sā</w:t>
      </w:r>
      <w:r>
        <w:rPr>
          <w:i/>
          <w:iCs/>
        </w:rPr>
        <w:t xml:space="preserve">mam</w:t>
      </w:r>
      <w:r>
        <w:t xml:space="preserve">), Apūrva, Vājasaneya (</w:t>
      </w:r>
      <w:r>
        <w:rPr>
          <w:i/>
          <w:iCs/>
        </w:rPr>
        <w:t xml:space="preserve">va</w:t>
      </w:r>
      <w:r>
        <w:rPr>
          <w:b/>
          <w:bCs/>
          <w:i/>
          <w:iCs/>
        </w:rPr>
        <w:t xml:space="preserve">jasa</w:t>
      </w:r>
      <w:r>
        <w:rPr>
          <w:i/>
          <w:iCs/>
        </w:rPr>
        <w:t xml:space="preserve">nēyam</w:t>
      </w:r>
      <w:r>
        <w:t xml:space="preserve">), Baudhāyanasūtra (</w:t>
      </w:r>
      <w:r>
        <w:rPr>
          <w:b/>
          <w:bCs/>
          <w:i/>
          <w:iCs/>
        </w:rPr>
        <w:t xml:space="preserve">bo</w:t>
      </w:r>
      <w:r>
        <w:rPr>
          <w:i/>
          <w:iCs/>
        </w:rPr>
        <w:t xml:space="preserve">tāniya-</w:t>
      </w:r>
      <w:r>
        <w:rPr>
          <w:b/>
          <w:bCs/>
          <w:i/>
          <w:iCs/>
        </w:rPr>
        <w:t xml:space="preserve">sū</w:t>
      </w:r>
      <w:r>
        <w:rPr>
          <w:i/>
          <w:iCs/>
        </w:rPr>
        <w:t xml:space="preserve">ttiram</w:t>
      </w:r>
      <w:r>
        <w:t xml:space="preserve">), Sattūjātasūtra (</w:t>
      </w:r>
      <w:r>
        <w:rPr>
          <w:b/>
          <w:bCs/>
          <w:i/>
          <w:iCs/>
        </w:rPr>
        <w:t xml:space="preserve">sattūṣāṭa-sū</w:t>
      </w:r>
      <w:r>
        <w:rPr>
          <w:i/>
          <w:iCs/>
        </w:rPr>
        <w:t xml:space="preserve">ttiram</w:t>
      </w:r>
      <w:r>
        <w:t xml:space="preserve">),</w:t>
      </w:r>
    </w:p>
    <w:p>
      <w:pPr>
        <w:pStyle w:val="FirstParagraph"/>
      </w:pPr>
      <w:r>
        <w:t xml:space="preserve">thus 11</w:t>
      </w:r>
      <w:r>
        <w:t xml:space="preserve"> </w:t>
      </w:r>
      <w:r>
        <w:rPr>
          <w:i/>
          <w:iCs/>
        </w:rPr>
        <w:t xml:space="preserve">kalam</w:t>
      </w:r>
      <w:r>
        <w:t xml:space="preserve">s and two</w:t>
      </w:r>
      <w:r>
        <w:t xml:space="preserve"> </w:t>
      </w:r>
      <w:r>
        <w:rPr>
          <w:i/>
          <w:iCs/>
        </w:rPr>
        <w:t xml:space="preserve">tūṇi</w:t>
      </w:r>
      <w:r>
        <w:t xml:space="preserve">s and one</w:t>
      </w:r>
      <w:r>
        <w:t xml:space="preserve"> </w:t>
      </w:r>
      <w:r>
        <w:rPr>
          <w:i/>
          <w:iCs/>
        </w:rPr>
        <w:t xml:space="preserve">patakku</w:t>
      </w:r>
      <w:r>
        <w:t xml:space="preserve"> </w:t>
      </w:r>
      <w:r>
        <w:t xml:space="preserve">of paddy for 190 people, at the rate of six</w:t>
      </w:r>
      <w:r>
        <w:t xml:space="preserve"> </w:t>
      </w:r>
      <w:r>
        <w:rPr>
          <w:i/>
          <w:iCs/>
        </w:rPr>
        <w:t xml:space="preserve">nāḻi</w:t>
      </w:r>
      <w:r>
        <w:t xml:space="preserve">s of paddy per day per person.</w:t>
      </w:r>
    </w:p>
    <w:p>
      <w:pPr>
        <w:pStyle w:val="Heading1"/>
      </w:pPr>
      <w:r>
        <w:t xml:space="preserve">Bibliography</w:t>
      </w:r>
    </w:p>
    <w:p>
      <w:pPr>
        <w:pStyle w:val="FirstParagraph"/>
      </w:pPr>
      <w:r>
        <w:t xml:space="preserve">Reported in ARIE 1918–19 (ARIE/1918-1919/C/1919/176).</w:t>
      </w:r>
    </w:p>
    <w:p>
      <w:pPr>
        <w:pStyle w:val="BodyText"/>
      </w:pPr>
      <w:r>
        <w:t xml:space="preserve">Edited in Kuppusamy &amp; Vijayavenugopal 2006 (PI 102) and translated in Kuppusamy &amp; Vijayavenugopal 2010 (PI 102).</w:t>
      </w:r>
    </w:p>
    <w:p>
      <w:pPr>
        <w:pStyle w:val="BodyText"/>
      </w:pPr>
      <w:r>
        <w:t xml:space="preserve">This digital edition by Emmanuel Francis, based on Kuppusamy &amp; Vijayavenugopal 2006. This translation adapted from Kuppusamy &amp; Vijayavenugopal 2010.</w:t>
      </w:r>
    </w:p>
    <w:p>
      <w:pPr>
        <w:pStyle w:val="Heading2"/>
      </w:pPr>
      <w:r>
        <w:t xml:space="preserve">Primary</w:t>
      </w:r>
    </w:p>
    <w:p>
      <w:pPr>
        <w:pStyle w:val="FirstParagraph"/>
      </w:pPr>
      <w:r>
        <w:rPr>
          <w:b/>
          <w:bCs/>
        </w:rPr>
        <w:t xml:space="preserve">[PI]</w:t>
      </w:r>
      <w:r>
        <w:t xml:space="preserve"> </w:t>
      </w:r>
      <w:r>
        <w:t xml:space="preserve">Kuppusamy, Bahour S. &amp; G. Vijayavenugopal. 2006.</w:t>
      </w:r>
      <w:r>
        <w:t xml:space="preserve"> </w:t>
      </w:r>
      <w:r>
        <w:rPr>
          <w:i/>
          <w:iCs/>
        </w:rPr>
        <w:t xml:space="preserve">Pondicherry inscriptions. Part I: Introduction and texts with notes = Putuccēri mānilak kalveṭṭukkaḷ</w:t>
      </w:r>
      <w:r>
        <w:t xml:space="preserve">. Pondichéry: Ecole française d’Extrême-Orient; Institut français de Pondichéry. Pages 115–124, item 102.</w:t>
      </w:r>
    </w:p>
    <w:p>
      <w:pPr>
        <w:pStyle w:val="BodyText"/>
      </w:pPr>
      <w:r>
        <w:rPr>
          <w:b/>
          <w:bCs/>
        </w:rPr>
        <w:t xml:space="preserve">[PI]</w:t>
      </w:r>
      <w:r>
        <w:t xml:space="preserve"> </w:t>
      </w:r>
      <w:r>
        <w:t xml:space="preserve">Kuppusamy, Bahour S. &amp; G. Vijayavenugopal. 2010.</w:t>
      </w:r>
      <w:r>
        <w:t xml:space="preserve"> </w:t>
      </w:r>
      <w:r>
        <w:rPr>
          <w:i/>
          <w:iCs/>
        </w:rPr>
        <w:t xml:space="preserve">Pondicherry inscriptions. Part II: Translation, appendices, glossary and phrases, [and] preface = Putuccēri mānilak kalveṭṭukkaḷ</w:t>
      </w:r>
      <w:r>
        <w:t xml:space="preserve">. Pondichéry: Ecole française d’Extrême-Orient; Institut français de Pondichéry. Pages 47–51, item 102.</w:t>
      </w:r>
    </w:p>
    <w:p>
      <w:pPr>
        <w:pStyle w:val="Heading2"/>
      </w:pPr>
      <w:r>
        <w:t xml:space="preserve">Secondary</w:t>
      </w:r>
    </w:p>
    <w:p>
      <w:pPr>
        <w:pStyle w:val="FirstParagraph"/>
      </w:pPr>
      <w:r>
        <w:t xml:space="preserve">ARIE 1918–19.</w:t>
      </w:r>
      <w:r>
        <w:t xml:space="preserve"> </w:t>
      </w:r>
      <w:r>
        <w:rPr>
          <w:i/>
          <w:iCs/>
        </w:rPr>
        <w:t xml:space="preserve">G.O. No. 1003, 16th August 1919. Epigraphy. Recording, with remarks, the progress report of the Assistant Archaeological Superintendent for epigraphy, Southern Circle, for the year 1918-1919</w:t>
      </w:r>
      <w:r>
        <w:t xml:space="preserve">. Edited by H. Krishna Sastri. No place, 1919. Page 63, appendix C/1919, item 176.</w:t>
      </w:r>
    </w:p>
    <w:sectPr>
      <w:footnotePr>
        <w:numFmt w:val="decimal"/>
        <w:numRestart w:val="eachSect"/>
      </w:footnotePr>
      <w:type w:val="nextPage"/>
      <w:pgSz w:h="15840" w:w="12240"/>
      <w:pgMar w:bottom="1440" w:footer="0" w:gutter="0" w:header="0" w:left="1440" w:right="1440" w:top="1440"/>
      <w:pgNumType w:fmt="decimal"/>
      <w:formProt w:val="false"/>
      <w:textDirection w:val="lrTb"/>
      <w:docGrid w:charSpace="0" w:linePitch="100" w:type="default"/>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Aptos">
    <w:charset w:val="01"/>
    <w:family w:val="auto"/>
    <w:pitch w:val="default"/>
  </w:font>
  <w:font w:name="Gentium">
    <w:charset w:val="01"/>
    <w:family w:val="auto"/>
    <w:pitch w:val="default"/>
  </w:font>
  <w:font w:name="Aptos Display">
    <w:charset w:val="01"/>
    <w:family w:val="auto"/>
    <w:pitch w:val="default"/>
  </w:font>
  <w:font w:name="Consolas">
    <w:charset w:val="01"/>
    <w:family w:val="auto"/>
    <w:pitch w:val="default"/>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mc="http://schemas.openxmlformats.org/markup-compatibility/2006" xmlns:o="urn:schemas-microsoft-com:office:office" xmlns:r="http://schemas.openxmlformats.org/officeDocument/2006/relationships" xmlns:v="urn:schemas-microsoft-com:vml" xmlns:w="http://schemas.openxmlformats.org/wordprocessingml/2006/main" xmlns:w14="http://schemas.microsoft.com/office/word/2010/wordml" mc:Ignorable="w14">
  <w:abstractNum w:abstractNumId="1">
    <w:lvl w:ilvl="0">
      <w:start w:val="1"/>
      <w:numFmt w:val="none"/>
      <w:suff w:val="nothing"/>
      <w:lvlText w:val=""/>
      <w:lvlJc w:val="left"/>
      <w:pPr>
        <w:tabs>
          <w:tab w:pos="0" w:val="num"/>
        </w:tabs>
        <w:ind w:hanging="0" w:left="0"/>
      </w:pPr>
      <w:rPr/>
    </w:lvl>
    <w:lvl w:ilvl="1">
      <w:start w:val="1"/>
      <w:numFmt w:val="none"/>
      <w:suff w:val="nothing"/>
      <w:lvlText w:val=""/>
      <w:lvlJc w:val="left"/>
      <w:pPr>
        <w:tabs>
          <w:tab w:pos="0" w:val="num"/>
        </w:tabs>
        <w:ind w:hanging="0" w:left="0"/>
      </w:pPr>
      <w:rPr/>
    </w:lvl>
    <w:lvl w:ilvl="2">
      <w:start w:val="1"/>
      <w:numFmt w:val="none"/>
      <w:suff w:val="nothing"/>
      <w:lvlText w:val=""/>
      <w:lvlJc w:val="left"/>
      <w:pPr>
        <w:tabs>
          <w:tab w:pos="0" w:val="num"/>
        </w:tabs>
        <w:ind w:hanging="0" w:left="0"/>
      </w:pPr>
      <w:rPr/>
    </w:lvl>
    <w:lvl w:ilvl="3">
      <w:start w:val="1"/>
      <w:numFmt w:val="none"/>
      <w:suff w:val="nothing"/>
      <w:lvlText w:val=""/>
      <w:lvlJc w:val="left"/>
      <w:pPr>
        <w:tabs>
          <w:tab w:pos="0" w:val="num"/>
        </w:tabs>
        <w:ind w:hanging="0" w:left="0"/>
      </w:pPr>
      <w:rPr/>
    </w:lvl>
    <w:lvl w:ilvl="4">
      <w:start w:val="1"/>
      <w:numFmt w:val="none"/>
      <w:suff w:val="nothing"/>
      <w:lvlText w:val=""/>
      <w:lvlJc w:val="left"/>
      <w:pPr>
        <w:tabs>
          <w:tab w:pos="0" w:val="num"/>
        </w:tabs>
        <w:ind w:hanging="0" w:left="0"/>
      </w:pPr>
      <w:rPr/>
    </w:lvl>
    <w:lvl w:ilvl="5">
      <w:start w:val="1"/>
      <w:numFmt w:val="none"/>
      <w:suff w:val="nothing"/>
      <w:lvlText w:val=""/>
      <w:lvlJc w:val="left"/>
      <w:pPr>
        <w:tabs>
          <w:tab w:pos="0" w:val="num"/>
        </w:tabs>
        <w:ind w:hanging="0" w:left="0"/>
      </w:pPr>
      <w:rPr/>
    </w:lvl>
    <w:lvl w:ilvl="6">
      <w:start w:val="1"/>
      <w:numFmt w:val="none"/>
      <w:suff w:val="nothing"/>
      <w:lvlText w:val=""/>
      <w:lvlJc w:val="left"/>
      <w:pPr>
        <w:tabs>
          <w:tab w:pos="0" w:val="num"/>
        </w:tabs>
        <w:ind w:hanging="0" w:left="0"/>
      </w:pPr>
      <w:rPr/>
    </w:lvl>
    <w:lvl w:ilvl="7">
      <w:start w:val="1"/>
      <w:numFmt w:val="none"/>
      <w:suff w:val="nothing"/>
      <w:lvlText w:val=""/>
      <w:lvlJc w:val="left"/>
      <w:pPr>
        <w:tabs>
          <w:tab w:pos="0" w:val="num"/>
        </w:tabs>
        <w:ind w:hanging="0" w:left="0"/>
      </w:pPr>
      <w:rPr/>
    </w:lvl>
    <w:lvl w:ilvl="8">
      <w:start w:val="1"/>
      <w:numFmt w:val="none"/>
      <w:suff w:val="nothing"/>
      <w:lvlText w:val=""/>
      <w:lvlJc w:val="left"/>
      <w:pPr>
        <w:tabs>
          <w:tab w:pos="0" w:val="num"/>
        </w:tabs>
        <w:ind w:hanging="0" w:left="0"/>
      </w:pPr>
      <w:rPr/>
    </w:lvl>
  </w:abstractNum>
  <w:abstractNum w:abstractNumId="2">
    <w:lvl w:ilvl="0">
      <w:start w:val="1"/>
      <w:numFmt w:val="none"/>
      <w:suff w:val="nothing"/>
      <w:lvlText w:val=""/>
      <w:lvlJc w:val="left"/>
      <w:pPr>
        <w:tabs>
          <w:tab w:pos="0" w:val="num"/>
        </w:tabs>
        <w:ind w:hanging="0" w:left="0"/>
      </w:pPr>
    </w:lvl>
    <w:lvl w:ilvl="1">
      <w:start w:val="1"/>
      <w:numFmt w:val="none"/>
      <w:suff w:val="nothing"/>
      <w:lvlText w:val=""/>
      <w:lvlJc w:val="left"/>
      <w:pPr>
        <w:tabs>
          <w:tab w:pos="0" w:val="num"/>
        </w:tabs>
        <w:ind w:hanging="0" w:left="0"/>
      </w:pPr>
    </w:lvl>
    <w:lvl w:ilvl="2">
      <w:start w:val="1"/>
      <w:numFmt w:val="none"/>
      <w:suff w:val="nothing"/>
      <w:lvlText w:val=""/>
      <w:lvlJc w:val="left"/>
      <w:pPr>
        <w:tabs>
          <w:tab w:pos="0" w:val="num"/>
        </w:tabs>
        <w:ind w:hanging="0" w:left="0"/>
      </w:pPr>
    </w:lvl>
    <w:lvl w:ilvl="3">
      <w:start w:val="1"/>
      <w:numFmt w:val="none"/>
      <w:suff w:val="nothing"/>
      <w:lvlText w:val=""/>
      <w:lvlJc w:val="left"/>
      <w:pPr>
        <w:tabs>
          <w:tab w:pos="0" w:val="num"/>
        </w:tabs>
        <w:ind w:hanging="0" w:left="0"/>
      </w:pPr>
    </w:lvl>
    <w:lvl w:ilvl="4">
      <w:start w:val="1"/>
      <w:numFmt w:val="none"/>
      <w:suff w:val="nothing"/>
      <w:lvlText w:val=""/>
      <w:lvlJc w:val="left"/>
      <w:pPr>
        <w:tabs>
          <w:tab w:pos="0" w:val="num"/>
        </w:tabs>
        <w:ind w:hanging="0" w:left="0"/>
      </w:pPr>
    </w:lvl>
    <w:lvl w:ilvl="5">
      <w:start w:val="1"/>
      <w:numFmt w:val="none"/>
      <w:suff w:val="nothing"/>
      <w:lvlText w:val=""/>
      <w:lvlJc w:val="left"/>
      <w:pPr>
        <w:tabs>
          <w:tab w:pos="0" w:val="num"/>
        </w:tabs>
        <w:ind w:hanging="0" w:left="0"/>
      </w:pPr>
    </w:lvl>
    <w:lvl w:ilvl="6">
      <w:start w:val="1"/>
      <w:numFmt w:val="none"/>
      <w:suff w:val="nothing"/>
      <w:lvlText w:val=""/>
      <w:lvlJc w:val="left"/>
      <w:pPr>
        <w:tabs>
          <w:tab w:pos="0" w:val="num"/>
        </w:tabs>
        <w:ind w:hanging="0" w:left="0"/>
      </w:pPr>
    </w:lvl>
    <w:lvl w:ilvl="7">
      <w:start w:val="1"/>
      <w:numFmt w:val="none"/>
      <w:suff w:val="nothing"/>
      <w:lvlText w:val=""/>
      <w:lvlJc w:val="left"/>
      <w:pPr>
        <w:tabs>
          <w:tab w:pos="0" w:val="num"/>
        </w:tabs>
        <w:ind w:hanging="0" w:left="0"/>
      </w:pPr>
    </w:lvl>
    <w:lvl w:ilvl="8">
      <w:start w:val="1"/>
      <w:numFmt w:val="none"/>
      <w:suff w:val="nothing"/>
      <w:lvlText w:val=""/>
      <w:lvlJc w:val="left"/>
      <w:pPr>
        <w:tabs>
          <w:tab w:pos="0" w:val="num"/>
        </w:tabs>
        <w:ind w:hanging="0" w:left="0"/>
      </w:pPr>
    </w:lvl>
  </w:abstractNum>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
    <w:abstractNumId w:val="1"/>
  </w:num>
  <w:num w:numId="2">
    <w:abstractNumId w:val="2"/>
  </w: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75"/>
  <w:embedSystemFonts/>
  <w:proofState w:grammar="clean" w:spelling="clean"/>
  <w:stylePaneFormatFilter w:val="0004"/>
  <w:doNotTrackMoves/>
  <w:defaultTabStop w:val="720"/>
  <w:autoHyphenation w:val="true"/>
  <w:hyphenationZone w:val="0"/>
  <w:drawingGridHorizontalSpacing w:val="360"/>
  <w:drawingGridVerticalSpacing w:val="360"/>
  <w:displayHorizontalDrawingGridEvery w:val="0"/>
  <w:displayVerticalDrawingGridEvery w:val="0"/>
  <w:characterSpacingControl w:val="doNotCompress"/>
  <w:savePreviewPicture/>
  <w:compat>
    <w:compatSetting w:name="compatibilityMode" w:uri="http://schemas.microsoft.com/office/word" w:val="12"/>
  </w:compat>
  <w:rsids>
  </w:rsids>
  <w:themeFontLang w:bidi="" w:eastAsia=""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Aptos" w:asciiTheme="minorHAnsi" w:cs="" w:cstheme="minorBidi" w:eastAsia="Aptos" w:eastAsiaTheme="minorHAnsi" w:hAnsi="Aptos" w:hAnsiTheme="minorHAnsi"/>
        <w:sz w:val="24"/>
        <w:szCs w:val="24"/>
        <w:lang w:bidi="ar-SA" w:eastAsia="en-US" w:val="en-US"/>
      </w:rPr>
    </w:rPrDefault>
    <w:pPrDefault>
      <w:pPr>
        <w:suppressAutoHyphens w:val="true"/>
      </w:pPr>
    </w:pPrDefault>
  </w:docDefaults>
  <w:latentStyles w:count="276" w:defLockedState="0" w:defQFormat="0" w:defSemiHidden="0" w:defUIPriority="0" w:defUnhideWhenUsed="0"/>
  <w:style w:default="1" w:styleId="Normal" w:type="paragraph">
    <w:name w:val="Normal"/>
    <w:qFormat/>
    <w:pPr>
      <w:widowControl/>
      <w:suppressAutoHyphens w:val="true"/>
      <w:bidi w:val="0"/>
      <w:spacing w:after="200" w:before="0" w:line="276" w:lineRule="auto"/>
      <w:jc w:val="left"/>
    </w:pPr>
    <w:rPr>
      <w:rFonts w:ascii="Gentium" w:cs="" w:cstheme="minorBidi" w:eastAsia="Aptos" w:eastAsiaTheme="minorHAnsi" w:hAnsi="Gentium"/>
      <w:color w:val="auto"/>
      <w:kern w:val="0"/>
      <w:sz w:val="24"/>
      <w:szCs w:val="24"/>
      <w:lang w:bidi="ar-SA" w:eastAsia="en-US" w:val="en-US"/>
    </w:rPr>
  </w:style>
  <w:style w:styleId="Heading1" w:type="paragraph">
    <w:name w:val="heading 1"/>
    <w:basedOn w:val="Normal"/>
    <w:next w:val="BodyText"/>
    <w:link w:val="Heading1Char"/>
    <w:uiPriority w:val="9"/>
    <w:qFormat/>
    <w:rsid w:val="00a10fd9"/>
    <w:pPr>
      <w:keepNext w:val="true"/>
      <w:keepLines/>
      <w:spacing w:after="80" w:before="360" w:line="240" w:lineRule="auto"/>
      <w:outlineLvl w:val="0"/>
    </w:pPr>
    <w:rPr>
      <w:rFonts w:ascii="Gentium" w:cs="" w:cstheme="majorBidi" w:eastAsia="" w:eastAsiaTheme="majorEastAsia" w:hAnsi="Gentium"/>
      <w:color w:val="auto"/>
      <w:sz w:val="40"/>
      <w:szCs w:val="40"/>
    </w:rPr>
  </w:style>
  <w:style w:styleId="Heading2" w:type="paragraph">
    <w:name w:val="heading 2"/>
    <w:basedOn w:val="Normal"/>
    <w:next w:val="BodyText"/>
    <w:link w:val="Heading2Char"/>
    <w:uiPriority w:val="9"/>
    <w:semiHidden/>
    <w:unhideWhenUsed/>
    <w:qFormat/>
    <w:rsid w:val="00a10fd9"/>
    <w:pPr>
      <w:keepNext w:val="true"/>
      <w:keepLines/>
      <w:spacing w:after="80" w:before="160"/>
      <w:outlineLvl w:val="1"/>
    </w:pPr>
    <w:rPr>
      <w:rFonts w:ascii="Gentium" w:cs="" w:cstheme="majorBidi" w:eastAsia="" w:eastAsiaTheme="majorEastAsia" w:hAnsi="Gentium"/>
      <w:color w:val="000000"/>
      <w:sz w:val="32"/>
      <w:szCs w:val="32"/>
    </w:rPr>
  </w:style>
  <w:style w:styleId="Heading3" w:type="paragraph">
    <w:name w:val="heading 3"/>
    <w:basedOn w:val="Normal"/>
    <w:next w:val="BodyText"/>
    <w:link w:val="Heading3Char"/>
    <w:uiPriority w:val="9"/>
    <w:semiHidden/>
    <w:unhideWhenUsed/>
    <w:qFormat/>
    <w:rsid w:val="00a10fd9"/>
    <w:pPr>
      <w:keepNext w:val="true"/>
      <w:keepLines/>
      <w:spacing w:after="80" w:before="160"/>
      <w:outlineLvl w:val="2"/>
    </w:pPr>
    <w:rPr>
      <w:rFonts w:ascii="Gentium" w:cs="" w:cstheme="majorBidi" w:eastAsia="" w:eastAsiaTheme="majorEastAsia" w:hAnsi="Gentium"/>
      <w:color w:val="000000"/>
      <w:sz w:val="28"/>
      <w:szCs w:val="28"/>
    </w:rPr>
  </w:style>
  <w:style w:styleId="Heading4" w:type="paragraph">
    <w:name w:val="heading 4"/>
    <w:basedOn w:val="Normal"/>
    <w:next w:val="BodyText"/>
    <w:link w:val="Heading4Char"/>
    <w:uiPriority w:val="9"/>
    <w:semiHidden/>
    <w:unhideWhenUsed/>
    <w:qFormat/>
    <w:rsid w:val="00a10fd9"/>
    <w:pPr>
      <w:keepNext w:val="true"/>
      <w:keepLines/>
      <w:spacing w:after="40" w:before="80"/>
      <w:outlineLvl w:val="3"/>
    </w:pPr>
    <w:rPr>
      <w:rFonts w:ascii="Gentium" w:cs="" w:cstheme="majorBidi" w:eastAsia="" w:eastAsiaTheme="majorEastAsia" w:hAnsi="Gentium"/>
      <w:i/>
      <w:iCs/>
      <w:color w:val="000000"/>
    </w:rPr>
  </w:style>
  <w:style w:styleId="Heading5" w:type="paragraph">
    <w:name w:val="heading 5"/>
    <w:basedOn w:val="Normal"/>
    <w:next w:val="BodyText"/>
    <w:link w:val="Heading5Char"/>
    <w:uiPriority w:val="9"/>
    <w:semiHidden/>
    <w:unhideWhenUsed/>
    <w:qFormat/>
    <w:rsid w:val="00a10fd9"/>
    <w:pPr>
      <w:keepNext w:val="true"/>
      <w:keepLines/>
      <w:spacing w:after="40" w:before="80"/>
      <w:outlineLvl w:val="4"/>
    </w:pPr>
    <w:rPr>
      <w:rFonts w:ascii="Gentium" w:cs="" w:cstheme="majorBidi" w:eastAsia="" w:eastAsiaTheme="majorEastAsia" w:hAnsi="Gentium"/>
      <w:color w:val="000000"/>
    </w:rPr>
  </w:style>
  <w:style w:styleId="Heading6" w:type="paragraph">
    <w:name w:val="heading 6"/>
    <w:basedOn w:val="Normal"/>
    <w:next w:val="BodyText"/>
    <w:link w:val="Heading6Char"/>
    <w:uiPriority w:val="9"/>
    <w:semiHidden/>
    <w:unhideWhenUsed/>
    <w:qFormat/>
    <w:rsid w:val="00a10fd9"/>
    <w:pPr>
      <w:keepNext w:val="true"/>
      <w:keepLines/>
      <w:spacing w:after="0" w:before="40"/>
      <w:outlineLvl w:val="5"/>
    </w:pPr>
    <w:rPr>
      <w:rFonts w:ascii="Gentium" w:cs="" w:cstheme="majorBidi" w:eastAsia="" w:eastAsiaTheme="majorEastAsia" w:hAnsi="Gentium"/>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val="true"/>
      <w:keepLines/>
      <w:spacing w:after="0" w:before="40"/>
      <w:outlineLvl w:val="6"/>
    </w:pPr>
    <w:rPr>
      <w:rFonts w:ascii="Gentium" w:cs="" w:cstheme="majorBidi" w:eastAsia="" w:eastAsiaTheme="majorEastAsia" w:hAnsi="Gentium"/>
      <w:color w:themeColor="text1" w:themeTint="a6" w:val="595959"/>
    </w:rPr>
  </w:style>
  <w:style w:styleId="Heading8" w:type="paragraph">
    <w:name w:val="heading 8"/>
    <w:basedOn w:val="Normal"/>
    <w:next w:val="BodyText"/>
    <w:link w:val="Heading8Char"/>
    <w:uiPriority w:val="9"/>
    <w:semiHidden/>
    <w:unhideWhenUsed/>
    <w:qFormat/>
    <w:rsid w:val="00a10fd9"/>
    <w:pPr>
      <w:keepNext w:val="true"/>
      <w:keepLines/>
      <w:spacing w:after="0" w:before="0"/>
      <w:outlineLvl w:val="7"/>
    </w:pPr>
    <w:rPr>
      <w:rFonts w:ascii="Gentium" w:cs="" w:cstheme="majorBidi" w:eastAsia="" w:eastAsiaTheme="majorEastAsia" w:hAnsi="Gentium"/>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val="true"/>
      <w:keepLines/>
      <w:spacing w:after="0" w:before="0"/>
      <w:outlineLvl w:val="8"/>
    </w:pPr>
    <w:rPr>
      <w:rFonts w:ascii="Gentium" w:cs="" w:cstheme="majorBidi" w:eastAsia="" w:eastAsiaTheme="majorEastAsia" w:hAnsi="Gentium"/>
      <w:color w:themeColor="text1" w:themeTint="d8" w:val="272727"/>
    </w:rPr>
  </w:style>
  <w:style w:customStyle="1" w:styleId="TitleChar" w:type="character">
    <w:name w:val="Title Char"/>
    <w:basedOn w:val="DefaultParagraphFont"/>
    <w:link w:val="Title"/>
    <w:uiPriority w:val="10"/>
    <w:qFormat/>
    <w:rsid w:val="00a10fd9"/>
    <w:rPr>
      <w:rFonts w:ascii="Aptos Display" w:asciiTheme="majorHAnsi" w:cs="" w:cstheme="majorBidi" w:eastAsia="" w:eastAsiaTheme="majorEastAsia" w:hAnsi="Aptos Display" w:hAnsiTheme="majorHAnsi"/>
      <w:sz w:val="56"/>
      <w:szCs w:val="56"/>
    </w:rPr>
  </w:style>
  <w:style w:customStyle="1" w:styleId="SubtitleChar" w:type="character">
    <w:name w:val="Subtitle Char"/>
    <w:basedOn w:val="DefaultParagraphFont"/>
    <w:link w:val="Subtitle"/>
    <w:uiPriority w:val="11"/>
    <w:qFormat/>
    <w:rsid w:val="00a10fd9"/>
    <w:rPr>
      <w:rFonts w:cs="" w:cstheme="majorBidi" w:eastAsia="" w:eastAsiaTheme="majorEastAsia"/>
      <w:color w:themeColor="text1" w:themeTint="a6" w:val="595959"/>
      <w:spacing w:val="15"/>
      <w:sz w:val="28"/>
      <w:szCs w:val="28"/>
    </w:rPr>
  </w:style>
  <w:style w:customStyle="1" w:styleId="Heading1Char" w:type="character">
    <w:name w:val="Heading 1 Char"/>
    <w:basedOn w:val="DefaultParagraphFont"/>
    <w:link w:val="Heading1"/>
    <w:uiPriority w:val="9"/>
    <w:qFormat/>
    <w:rsid w:val="00a10fd9"/>
    <w:rPr>
      <w:rFonts w:ascii="Aptos Display" w:asciiTheme="majorHAnsi" w:cs="" w:cstheme="majorBidi" w:eastAsia="" w:eastAsiaTheme="majorEastAsia" w:hAnsi="Aptos Display" w:hAnsiTheme="majorHAnsi"/>
      <w:color w:themeColor="accent1" w:themeShade="bf" w:val="0F4761"/>
      <w:sz w:val="40"/>
      <w:szCs w:val="40"/>
    </w:rPr>
  </w:style>
  <w:style w:customStyle="1" w:styleId="Heading2Char" w:type="character">
    <w:name w:val="Heading 2 Char"/>
    <w:basedOn w:val="DefaultParagraphFont"/>
    <w:link w:val="Heading2"/>
    <w:uiPriority w:val="9"/>
    <w:semiHidden/>
    <w:qFormat/>
    <w:rsid w:val="00a10fd9"/>
    <w:rPr>
      <w:rFonts w:ascii="Aptos Display" w:asciiTheme="majorHAnsi" w:cs="" w:cstheme="majorBidi" w:eastAsia="" w:eastAsiaTheme="majorEastAsia" w:hAnsi="Aptos Display" w:hAnsiTheme="majorHAnsi"/>
      <w:color w:themeColor="accent1" w:themeShade="bf" w:val="0F4761"/>
      <w:sz w:val="32"/>
      <w:szCs w:val="32"/>
    </w:rPr>
  </w:style>
  <w:style w:customStyle="1" w:styleId="Heading3Char" w:type="character">
    <w:name w:val="Heading 3 Char"/>
    <w:basedOn w:val="DefaultParagraphFont"/>
    <w:link w:val="Heading3"/>
    <w:uiPriority w:val="9"/>
    <w:semiHidden/>
    <w:qFormat/>
    <w:rsid w:val="00a10fd9"/>
    <w:rPr>
      <w:rFonts w:cs="" w:cstheme="majorBidi" w:eastAsia=""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qFormat/>
    <w:rsid w:val="00a10fd9"/>
    <w:rPr>
      <w:rFonts w:cs="" w:cstheme="majorBidi" w:eastAsia="" w:eastAsiaTheme="majorEastAsia"/>
      <w:i/>
      <w:iCs/>
      <w:color w:themeColor="accent1" w:themeShade="bf" w:val="0F4761"/>
    </w:rPr>
  </w:style>
  <w:style w:customStyle="1" w:styleId="Heading5Char" w:type="character">
    <w:name w:val="Heading 5 Char"/>
    <w:basedOn w:val="DefaultParagraphFont"/>
    <w:link w:val="Heading5"/>
    <w:uiPriority w:val="9"/>
    <w:semiHidden/>
    <w:qFormat/>
    <w:rsid w:val="00a10fd9"/>
    <w:rPr>
      <w:rFonts w:cs="" w:cstheme="majorBidi" w:eastAsia="" w:eastAsiaTheme="majorEastAsia"/>
      <w:color w:themeColor="accent1" w:themeShade="bf" w:val="0F4761"/>
    </w:rPr>
  </w:style>
  <w:style w:customStyle="1" w:styleId="Heading6Char" w:type="character">
    <w:name w:val="Heading 6 Char"/>
    <w:basedOn w:val="DefaultParagraphFont"/>
    <w:link w:val="Heading6"/>
    <w:uiPriority w:val="9"/>
    <w:semiHidden/>
    <w:qFormat/>
    <w:rsid w:val="00a10fd9"/>
    <w:rPr>
      <w:rFonts w:cs="" w:cstheme="majorBidi" w:eastAsia="" w:eastAsiaTheme="majorEastAsia"/>
      <w:i/>
      <w:iCs/>
      <w:color w:themeColor="text1" w:themeTint="a6" w:val="595959"/>
    </w:rPr>
  </w:style>
  <w:style w:customStyle="1" w:styleId="Heading7Char" w:type="character">
    <w:name w:val="Heading 7 Char"/>
    <w:basedOn w:val="DefaultParagraphFont"/>
    <w:link w:val="Heading7"/>
    <w:uiPriority w:val="9"/>
    <w:semiHidden/>
    <w:qFormat/>
    <w:rsid w:val="00a10fd9"/>
    <w:rPr>
      <w:rFonts w:cs="" w:cstheme="majorBidi" w:eastAsia="" w:eastAsiaTheme="majorEastAsia"/>
      <w:color w:themeColor="text1" w:themeTint="a6" w:val="595959"/>
    </w:rPr>
  </w:style>
  <w:style w:customStyle="1" w:styleId="Heading8Char" w:type="character">
    <w:name w:val="Heading 8 Char"/>
    <w:basedOn w:val="DefaultParagraphFont"/>
    <w:link w:val="Heading8"/>
    <w:uiPriority w:val="9"/>
    <w:semiHidden/>
    <w:qFormat/>
    <w:rsid w:val="00a10fd9"/>
    <w:rPr>
      <w:rFonts w:cs="" w:cstheme="majorBidi" w:eastAsia="" w:eastAsiaTheme="majorEastAsia"/>
      <w:i/>
      <w:iCs/>
      <w:color w:themeColor="text1" w:themeTint="d8" w:val="272727"/>
    </w:rPr>
  </w:style>
  <w:style w:customStyle="1" w:styleId="Heading9Char" w:type="character">
    <w:name w:val="Heading 9 Char"/>
    <w:basedOn w:val="DefaultParagraphFont"/>
    <w:link w:val="Heading9"/>
    <w:uiPriority w:val="9"/>
    <w:semiHidden/>
    <w:qFormat/>
    <w:rsid w:val="00a10fd9"/>
    <w:rPr>
      <w:rFonts w:cs="" w:cstheme="majorBidi" w:eastAsia="" w:eastAsiaTheme="majorEastAsia"/>
      <w:color w:themeColor="text1" w:themeTint="d8" w:val="272727"/>
    </w:rPr>
  </w:style>
  <w:style w:default="1" w:styleId="DefaultParagraphFont" w:type="character">
    <w:name w:val="Default Paragraph Font"/>
    <w:semiHidden/>
    <w:unhideWhenUsed/>
    <w:qFormat/>
    <w:rPr/>
  </w:style>
  <w:style w:customStyle="1" w:styleId="BodyTextChar" w:type="character">
    <w:name w:val="Body Text Char"/>
    <w:basedOn w:val="DefaultParagraphFont"/>
    <w:qFormat/>
    <w:rPr/>
  </w:style>
  <w:style w:customStyle="1" w:styleId="VerbatimChar" w:type="character">
    <w:name w:val="Verbatim Char"/>
    <w:basedOn w:val="BodyTextChar"/>
    <w:qFormat/>
    <w:rPr>
      <w:rFonts w:ascii="Consolas" w:hAnsi="Consolas"/>
      <w:sz w:val="22"/>
    </w:rPr>
  </w:style>
  <w:style w:customStyle="1" w:styleId="SectionNumber" w:type="character">
    <w:name w:val="Section Number"/>
    <w:basedOn w:val="BodyTextChar"/>
    <w:qFormat/>
    <w:rPr/>
  </w:style>
  <w:style w:styleId="FootnoteCharactersuser" w:type="character">
    <w:name w:val="Footnote Characters (user)"/>
    <w:qFormat/>
    <w:rPr>
      <w:vertAlign w:val="superscript"/>
    </w:rPr>
  </w:style>
  <w:style w:styleId="FootnoteCharacters" w:type="character">
    <w:name w:val="Footnote Characters"/>
    <w:qFormat/>
    <w:rPr>
      <w:vertAlign w:val="superscript"/>
    </w:rPr>
  </w:style>
  <w:style w:styleId="FootnoteReference" w:type="character">
    <w:name w:val="footnote reference"/>
    <w:rPr>
      <w:vertAlign w:val="superscript"/>
    </w:rPr>
  </w:style>
  <w:style w:styleId="Hyperlink" w:type="character">
    <w:name w:val="Hyperlink"/>
    <w:basedOn w:val="BodyTextChar"/>
    <w:rPr>
      <w:color w:themeColor="accent1" w:val="4F81BD"/>
    </w:rPr>
  </w:style>
  <w:style w:styleId="ColorGray" w:type="character">
    <w:name w:val="ColorGray"/>
    <w:basedOn w:val="BodyTextChar"/>
    <w:qFormat/>
    <w:rPr>
      <w:color w:val="666666"/>
    </w:rPr>
  </w:style>
  <w:style w:styleId="ColorGreen" w:type="character">
    <w:name w:val="ColorGreen"/>
    <w:basedOn w:val="DefaultParagraphFont"/>
    <w:qFormat/>
    <w:rPr>
      <w:color w:val="069A2E"/>
    </w:rPr>
  </w:style>
  <w:style w:styleId="ColorBrown" w:type="character">
    <w:name w:val="ColorBrown"/>
    <w:basedOn w:val="ColorGreen"/>
    <w:qFormat/>
    <w:rPr>
      <w:color w:val="784B04"/>
    </w:rPr>
  </w:style>
  <w:style w:styleId="CaptionCharactersuser" w:type="character">
    <w:name w:val="Caption Characters (user)"/>
    <w:qFormat/>
    <w:rPr/>
  </w:style>
  <w:style w:styleId="ColorRed" w:type="character">
    <w:name w:val="ColorRed"/>
    <w:basedOn w:val="CaptionCharactersuser"/>
    <w:qFormat/>
    <w:rPr>
      <w:color w:val="C9211E"/>
    </w:rPr>
  </w:style>
  <w:style w:styleId="ColorMagenta" w:type="character">
    <w:name w:val="ColorMagenta"/>
    <w:basedOn w:val="ColorBrown"/>
    <w:qFormat/>
    <w:rPr>
      <w:color w:val="800080"/>
    </w:rPr>
  </w:style>
  <w:style w:styleId="ColorBlue" w:type="character">
    <w:name w:val="ColorBlue"/>
    <w:basedOn w:val="ColorGray"/>
    <w:qFormat/>
    <w:rPr>
      <w:color w:val="2A6099"/>
    </w:rPr>
  </w:style>
  <w:style w:styleId="ColorBlack" w:type="character">
    <w:name w:val="ColorBlack"/>
    <w:basedOn w:val="ColorBlue"/>
    <w:qFormat/>
    <w:rPr>
      <w:color w:val="000000"/>
    </w:rPr>
  </w:style>
  <w:style w:styleId="EndnoteCharacters" w:type="character">
    <w:name w:val="Endnote Characters"/>
    <w:qFormat/>
    <w:rPr>
      <w:vertAlign w:val="superscript"/>
    </w:rPr>
  </w:style>
  <w:style w:styleId="EndnoteCharactersuser" w:type="character">
    <w:name w:val="Endnote Characters (user)"/>
    <w:qFormat/>
    <w:rPr>
      <w:vertAlign w:val="superscript"/>
    </w:rPr>
  </w:style>
  <w:style w:styleId="EndnoteReference" w:type="character">
    <w:name w:val="endnote reference"/>
    <w:rPr>
      <w:vertAlign w:val="superscript"/>
    </w:rPr>
  </w:style>
  <w:style w:styleId="Heading" w:type="paragraph">
    <w:name w:val="Heading"/>
    <w:basedOn w:val="Normal"/>
    <w:next w:val="BodyText"/>
    <w:qFormat/>
    <w:pPr>
      <w:keepNext w:val="true"/>
      <w:spacing w:after="120" w:before="240"/>
    </w:pPr>
    <w:rPr>
      <w:rFonts w:ascii="Gentium" w:cs="Noto Sans Devanagari" w:eastAsia="Noto Sans CJK SC" w:hAnsi="Gentium"/>
      <w:sz w:val="28"/>
      <w:szCs w:val="28"/>
    </w:rPr>
  </w:style>
  <w:style w:styleId="BodyText" w:type="paragraph">
    <w:name w:val="Body Text"/>
    <w:basedOn w:val="Normal"/>
    <w:link w:val="BodyTextChar"/>
    <w:qFormat/>
    <w:pPr>
      <w:spacing w:after="180" w:before="180" w:line="276" w:lineRule="auto"/>
    </w:pPr>
    <w:rPr>
      <w:rFonts w:ascii="Gentium" w:hAnsi="Gentium"/>
    </w:rPr>
  </w:style>
  <w:style w:styleId="List" w:type="paragraph">
    <w:name w:val="List"/>
    <w:basedOn w:val="BodyText"/>
    <w:pPr/>
    <w:rPr>
      <w:rFonts w:ascii="Gentium" w:cs="Noto Sans Devanagari" w:hAnsi="Gentium"/>
    </w:rPr>
  </w:style>
  <w:style w:styleId="Caption" w:type="paragraph">
    <w:name w:val="caption"/>
    <w:basedOn w:val="Normal"/>
    <w:link w:val="BodyTextChar"/>
    <w:qFormat/>
    <w:pPr>
      <w:spacing w:after="120" w:before="0"/>
    </w:pPr>
    <w:rPr>
      <w:rFonts w:ascii="Gentium" w:hAnsi="Gentium"/>
      <w:i/>
    </w:rPr>
  </w:style>
  <w:style w:styleId="Index" w:type="paragraph">
    <w:name w:val="Index"/>
    <w:basedOn w:val="Normal"/>
    <w:qFormat/>
    <w:pPr>
      <w:suppressLineNumbers/>
    </w:pPr>
    <w:rPr>
      <w:rFonts w:ascii="Gentium" w:cs="Noto Sans Devanagari" w:hAnsi="Gentium"/>
    </w:rPr>
  </w:style>
  <w:style w:customStyle="1" w:styleId="FirstParagraph" w:type="paragraph">
    <w:name w:val="First Paragraph"/>
    <w:basedOn w:val="BodyText"/>
    <w:next w:val="BodyText"/>
    <w:qFormat/>
    <w:pPr>
      <w:spacing w:line="276" w:lineRule="auto"/>
    </w:pPr>
    <w:rPr>
      <w:rFonts w:ascii="Gentium" w:hAnsi="Gentium"/>
    </w:rPr>
  </w:style>
  <w:style w:customStyle="1" w:styleId="Compact" w:type="paragraph">
    <w:name w:val="Compact"/>
    <w:basedOn w:val="BodyText"/>
    <w:qFormat/>
    <w:pPr>
      <w:spacing w:after="36" w:before="36"/>
    </w:pPr>
    <w:rPr/>
  </w:style>
  <w:style w:styleId="Title" w:type="paragraph">
    <w:name w:val="Title"/>
    <w:basedOn w:val="Normal"/>
    <w:next w:val="BodyText"/>
    <w:link w:val="TitleChar"/>
    <w:uiPriority w:val="10"/>
    <w:qFormat/>
    <w:rsid w:val="00a10fd9"/>
    <w:pPr>
      <w:spacing w:after="80" w:before="0" w:line="240" w:lineRule="auto"/>
      <w:contextualSpacing/>
      <w:jc w:val="center"/>
    </w:pPr>
    <w:rPr>
      <w:rFonts w:ascii="Gentium" w:cs="" w:cstheme="majorBidi" w:eastAsia="" w:eastAsiaTheme="majorEastAsia" w:hAnsi="Gentium"/>
      <w:sz w:val="56"/>
      <w:szCs w:val="56"/>
    </w:rPr>
  </w:style>
  <w:style w:styleId="Subtitle" w:type="paragraph">
    <w:name w:val="Subtitle"/>
    <w:basedOn w:val="Title"/>
    <w:next w:val="BodyText"/>
    <w:link w:val="SubtitleChar"/>
    <w:uiPriority w:val="11"/>
    <w:qFormat/>
    <w:rsid w:val="00a10fd9"/>
    <w:pPr/>
    <w:rPr>
      <w:rFonts w:cs="" w:cstheme="majorBidi" w:eastAsia="" w:eastAsiaTheme="majorEastAsia"/>
      <w:spacing w:val="15"/>
      <w:sz w:val="28"/>
      <w:szCs w:val="28"/>
    </w:rPr>
  </w:style>
  <w:style w:customStyle="1" w:styleId="Author" w:type="paragraph">
    <w:name w:val="Author"/>
    <w:basedOn w:val="Title"/>
    <w:next w:val="BodyText"/>
    <w:qFormat/>
    <w:pPr>
      <w:keepNext w:val="true"/>
      <w:keepLines/>
    </w:pPr>
    <w:rPr>
      <w:sz w:val="24"/>
      <w:szCs w:val="24"/>
    </w:rPr>
  </w:style>
  <w:style w:styleId="Date" w:type="paragraph">
    <w:name w:val="Date"/>
    <w:basedOn w:val="Title"/>
    <w:next w:val="BodyText"/>
    <w:qFormat/>
    <w:pPr>
      <w:keepNext w:val="true"/>
      <w:keepLines/>
    </w:pPr>
    <w:rPr>
      <w:sz w:val="24"/>
      <w:szCs w:val="24"/>
    </w:rPr>
  </w:style>
  <w:style w:customStyle="1" w:styleId="AbstractTitle" w:type="paragraph">
    <w:name w:val="Abstract Title"/>
    <w:basedOn w:val="Normal"/>
    <w:next w:val="Abstract"/>
    <w:qFormat/>
    <w:pPr>
      <w:keepNext w:val="true"/>
      <w:keepLines/>
      <w:spacing w:after="0" w:before="300"/>
      <w:jc w:val="center"/>
    </w:pPr>
    <w:rPr>
      <w:b/>
      <w:sz w:val="20"/>
      <w:szCs w:val="20"/>
    </w:rPr>
  </w:style>
  <w:style w:customStyle="1" w:styleId="Abstract" w:type="paragraph">
    <w:name w:val="Abstract"/>
    <w:basedOn w:val="Normal"/>
    <w:next w:val="BodyText"/>
    <w:qFormat/>
    <w:pPr>
      <w:keepNext w:val="true"/>
      <w:keepLines/>
      <w:spacing w:after="300" w:before="100"/>
    </w:pPr>
    <w:rPr>
      <w:rFonts w:ascii="Gentium" w:hAnsi="Gentium"/>
      <w:sz w:val="20"/>
      <w:szCs w:val="20"/>
    </w:rPr>
  </w:style>
  <w:style w:styleId="Bibliography" w:type="paragraph">
    <w:name w:val="Bibliography"/>
    <w:basedOn w:val="Normal"/>
    <w:qFormat/>
    <w:pPr/>
    <w:rPr/>
  </w:style>
  <w:style w:styleId="BlockText" w:type="paragraph">
    <w:name w:val="Block Text"/>
    <w:basedOn w:val="BodyText"/>
    <w:next w:val="BodyText"/>
    <w:uiPriority w:val="9"/>
    <w:unhideWhenUsed/>
    <w:qFormat/>
    <w:pPr>
      <w:spacing w:after="100" w:before="100"/>
      <w:ind w:hanging="0" w:left="480" w:right="480"/>
    </w:pPr>
    <w:rPr/>
  </w:style>
  <w:style w:styleId="FootnoteText" w:type="paragraph">
    <w:name w:val="footnote text"/>
    <w:basedOn w:val="Normal"/>
    <w:uiPriority w:val="9"/>
    <w:unhideWhenUsed/>
    <w:qFormat/>
    <w:pPr/>
    <w:rPr>
      <w:rFonts w:ascii="Gentium" w:hAnsi="Gentium"/>
    </w:rPr>
  </w:style>
  <w:style w:styleId="FootnoteBlockText" w:type="paragraph">
    <w:name w:val="Footnote Block Text"/>
    <w:basedOn w:val="FootnoteText"/>
    <w:next w:val="FootnoteText"/>
    <w:uiPriority w:val="9"/>
    <w:unhideWhenUsed/>
    <w:qFormat/>
    <w:pPr>
      <w:spacing w:after="100" w:before="100"/>
      <w:ind w:hanging="0" w:left="480" w:right="480"/>
    </w:pPr>
    <w:rPr>
      <w:rFonts w:ascii="Gentium" w:hAnsi="Gentium"/>
    </w:rPr>
  </w:style>
  <w:style w:customStyle="1" w:styleId="DefinitionTerm" w:type="paragraph">
    <w:name w:val="Definition Term"/>
    <w:basedOn w:val="Normal"/>
    <w:next w:val="Definition"/>
    <w:qFormat/>
    <w:pPr>
      <w:keepNext w:val="true"/>
      <w:keepLines/>
      <w:spacing w:after="0" w:before="0"/>
    </w:pPr>
    <w:rPr>
      <w:rFonts w:ascii="Gentium" w:hAnsi="Gentium"/>
      <w:b/>
    </w:rPr>
  </w:style>
  <w:style w:customStyle="1" w:styleId="Definition" w:type="paragraph">
    <w:name w:val="Definition"/>
    <w:basedOn w:val="Normal"/>
    <w:qFormat/>
    <w:pPr>
      <w:ind w:left="475"/>
    </w:pPr>
    <w:rPr>
      <w:rFonts w:ascii="Gentium" w:hAnsi="Gentium"/>
    </w:rPr>
  </w:style>
  <w:style w:customStyle="1" w:styleId="TableCaption" w:type="paragraph">
    <w:name w:val="Table Caption"/>
    <w:basedOn w:val="Caption"/>
    <w:qFormat/>
    <w:pPr>
      <w:keepNext w:val="true"/>
    </w:pPr>
    <w:rPr/>
  </w:style>
  <w:style w:customStyle="1" w:styleId="ImageCaption" w:type="paragraph">
    <w:name w:val="Image Caption"/>
    <w:basedOn w:val="Caption"/>
    <w:qFormat/>
    <w:pPr/>
    <w:rPr/>
  </w:style>
  <w:style w:customStyle="1" w:styleId="Figure" w:type="paragraph">
    <w:name w:val="Figure"/>
    <w:basedOn w:val="Normal"/>
    <w:qFormat/>
    <w:pPr/>
    <w:rPr/>
  </w:style>
  <w:style w:customStyle="1" w:styleId="CaptionedFigure" w:type="paragraph">
    <w:name w:val="Captioned Figure"/>
    <w:basedOn w:val="Figure"/>
    <w:qFormat/>
    <w:pPr>
      <w:keepNext w:val="true"/>
    </w:pPr>
    <w:rPr/>
  </w:style>
  <w:style w:styleId="IndexHeading" w:type="paragraph">
    <w:name w:val="index heading"/>
    <w:basedOn w:val="Heading"/>
    <w:pPr/>
    <w:rPr/>
  </w:style>
  <w:style w:styleId="TOCHeading" w:type="paragraph">
    <w:name w:val="TOC Heading"/>
    <w:basedOn w:val="Heading1"/>
    <w:next w:val="BodyText"/>
    <w:uiPriority w:val="39"/>
    <w:unhideWhenUsed/>
    <w:qFormat/>
    <w:pPr>
      <w:spacing w:after="80" w:before="240" w:line="259" w:lineRule="auto"/>
      <w:outlineLvl w:val="9"/>
    </w:pPr>
    <w:rPr>
      <w:rFonts w:ascii="Aptos Display" w:asciiTheme="majorHAnsi" w:cs="" w:cstheme="majorBidi" w:eastAsia="" w:eastAsiaTheme="majorEastAsia" w:hAnsi="Aptos Display" w:hAnsiTheme="majorHAnsi"/>
      <w:b w:val="false"/>
      <w:bCs w:val="false"/>
      <w:color w:themeColor="accent1" w:themeShade="bf" w:val="365F91"/>
    </w:rPr>
  </w:style>
  <w:style w:styleId="Heading10" w:type="paragraph">
    <w:name w:val="Heading 10"/>
    <w:basedOn w:val="Heading"/>
    <w:next w:val="BodyText"/>
    <w:qFormat/>
    <w:pPr>
      <w:numPr>
        <w:ilvl w:val="8"/>
        <w:numId w:val="1"/>
      </w:numPr>
      <w:spacing w:after="60" w:before="60"/>
      <w:outlineLvl w:val="8"/>
    </w:pPr>
    <w:rPr>
      <w:b/>
      <w:bCs/>
      <w:sz w:val="18"/>
      <w:szCs w:val="18"/>
    </w:rPr>
  </w:style>
  <w:style w:styleId="BodyTextIndent" w:type="paragraph">
    <w:name w:val="Body Text Indent"/>
    <w:basedOn w:val="BodyText"/>
    <w:pPr>
      <w:ind w:hanging="0" w:left="283"/>
    </w:pPr>
    <w:rPr/>
  </w:style>
  <w:style w:styleId="BlockQuotationuser" w:type="paragraph">
    <w:name w:val="Block Quotation (user)"/>
    <w:basedOn w:val="Normal"/>
    <w:qFormat/>
    <w:pPr>
      <w:spacing w:after="283" w:before="0"/>
      <w:ind w:hanging="0" w:left="567" w:right="567"/>
    </w:pPr>
    <w:rPr>
      <w:rFonts w:ascii="Gentium" w:hAnsi="Gentium"/>
    </w:rPr>
  </w:style>
  <w:style w:default="1" w:styleId="Table" w:type="table">
    <w:name w:val="Table"/>
    <w:basedOn w:val="TableNormal"/>
    <w:semiHidden/>
    <w:unhideWhenUsed/>
    <w:qFormat/>
    <w:tblPr>
      <w:tblCellMar>
        <w:top w:type="dxa" w:w="0"/>
        <w:left w:type="dxa" w:w="108"/>
        <w:bottom w:type="dxa" w:w="0"/>
        <w:right w:type="dxa" w:w="108"/>
      </w:tblCellMar>
    </w:tblPr>
    <w:tblStylePr w:type="firstRow">
      <w:tblPr/>
      <w:tcPr>
        <w:tcBorders>
          <w:bottom w:val="single"/>
        </w:tcBorders>
        <w:vAlign w:val="bottom"/>
      </w:tcPr>
    </w:tblStyle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9" Target="https://dharmalekha.info/prosody#prosody-187" TargetMode="External" /></Relationships>
</file>

<file path=word/_rels/footnotes.xml.rels><?xml version="1.0" encoding="UTF-8"?><Relationships xmlns="http://schemas.openxmlformats.org/package/2006/relationships"><Relationship Type="http://schemas.openxmlformats.org/officeDocument/2006/relationships/hyperlink" Id="rId9" Target="https://dharmalekha.info/prosody#prosody-187" TargetMode="External"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pitchFamily="0" charset="1"/>
        <a:ea typeface=""/>
        <a:cs typeface=""/>
      </a:majorFont>
      <a:minorFont>
        <a:latin typeface="Aptos" panose="02110004020202020204" pitchFamily="0" charset="1"/>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Normal.dotm</Template>
  <TotalTime>45</TotalTime>
  <Application>LibreOffice/26.2.6.3$Linux_X86_64 LibreOffice_project/620$Build-3</Application>
  <AppVersion>15.0000</AppVersion>
  <Pages>2</Pages>
  <Words>60</Words>
  <Characters>366</Characters>
  <CharactersWithSpaces>396</CharactersWithSpaces>
  <Paragraphs>30</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Tirupuvaṉai / Thirubhuvanai, Varadarāja Perumāḷ temple, time of Rājādhirāja, year 30</dc:title>
  <dc:creator>Emmanuel Francis</dc:creator>
  <cp:keywords/>
  <dcterms:created xsi:type="dcterms:W3CDTF">2026-11-06T00:08:50Z</dcterms:created>
  <dcterms:modified xsi:type="dcterms:W3CDTF">2026-11-06T00:08:50Z</dcterms:modified>
</cp:coreProperties>
</file>

<file path=docProps/custom.xml><?xml version="1.0" encoding="utf-8"?>
<Properties xmlns="http://schemas.openxmlformats.org/officeDocument/2006/custom-properties" xmlns:vt="http://schemas.openxmlformats.org/officeDocument/2006/docPropsVTypes"/>
</file>