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Pākūr / Vākūr / Bahur, Tirumūlanātar temple, time of Kaṉṉaradeva, year 27</w:t>
      </w:r>
    </w:p>
    <w:p>
      <w:pPr>
        <w:pStyle w:val="Author"/>
      </w:pPr>
      <w:r>
        <w:t xml:space="preserve">Emmanuel Francis</w:t>
      </w:r>
    </w:p>
    <w:p>
      <w:pPr>
        <w:pStyle w:val="FirstParagraph"/>
      </w:pPr>
      <w:r>
        <w:t xml:space="preserve">Author of digital edition: Emmanuel Francis</w:t>
      </w:r>
    </w:p>
    <w:p>
      <w:pPr>
        <w:pStyle w:val="BodyText"/>
      </w:pPr>
      <w:r>
        <w:t xml:space="preserve">Identifier: DHARMA_INSPondicherry00008</w:t>
      </w:r>
    </w:p>
    <w:p>
      <w:pPr>
        <w:pStyle w:val="BodyText"/>
      </w:pPr>
      <w:r>
        <w:t xml:space="preserve">Repository: Pondicherry (tfa-pondicherry-epigraphy)</w:t>
      </w:r>
    </w:p>
    <w:p>
      <w:pPr>
        <w:pStyle w:val="BodyText"/>
      </w:pPr>
      <w:r>
        <w:t xml:space="preserve">File path: DHARMA_INSPondicherry00008.xml</w:t>
      </w:r>
    </w:p>
    <w:p>
      <w:pPr>
        <w:pStyle w:val="BodyText"/>
      </w:pPr>
      <w:r>
        <w:t xml:space="preserve">Language: Tamil [Grantha, Tamil]</w:t>
      </w:r>
    </w:p>
    <w:p>
      <w:pPr>
        <w:pStyle w:val="BodyText"/>
      </w:pPr>
      <w:r>
        <w:t xml:space="preserve">Commit: 2026-11-05 18:42 (f342702), last modified 2026-11-05 18:42 (f342702)</w:t>
      </w:r>
    </w:p>
    <w:p>
      <w:pPr>
        <w:pStyle w:val="Heading1"/>
      </w:pPr>
      <w:r>
        <w:t xml:space="preserve">Summary</w:t>
      </w:r>
    </w:p>
    <w:p>
      <w:pPr>
        <w:pStyle w:val="FirstParagraph"/>
      </w:pPr>
      <w:r>
        <w:rPr>
          <w:i/>
          <w:iCs/>
        </w:rPr>
        <w:t xml:space="preserve">Ardhamaṇḍapa</w:t>
      </w:r>
      <w:r>
        <w:t xml:space="preserve">, north wall. Kaṉṉaradeva = Kṛṣṇa III Rāṣṭrakūṭa, RY 27 = 966 CE.</w:t>
      </w:r>
    </w:p>
    <w:p>
      <w:r>
        <w:pict>
          <v:rect style="width:0;height:1.5pt" o:hralign="center" o:hrstd="t" o:hr="t"/>
        </w:pict>
      </w:r>
    </w:p>
    <w:p>
      <w:pPr>
        <w:pStyle w:val="Heading1"/>
      </w:pPr>
      <w:r>
        <w:t xml:space="preserve">Edition</w:t>
      </w:r>
    </w:p>
    <w:p>
      <w:pPr>
        <w:pStyle w:val="FirstParagraph"/>
      </w:pPr>
      <w:r>
        <w:rPr>
          <w:rStyle w:val="ColorGray"/>
        </w:rPr>
        <w:t xml:space="preserve"> </w:t>
      </w:r>
      <w:r>
        <w:rPr>
          <w:rStyle w:val="ColorGray"/>
        </w:rPr>
        <w:t xml:space="preserve">⟨1⟩</w:t>
      </w:r>
      <w:r>
        <w:rPr>
          <w:rStyle w:val="ColorGray"/>
        </w:rPr>
        <w:t xml:space="preserve"> </w:t>
      </w:r>
      <w:r>
        <w:rPr>
          <w:b/>
          <w:bCs/>
        </w:rPr>
        <w:t xml:space="preserve">svasti śrī</w:t>
      </w:r>
    </w:p>
    <w:p>
      <w:pPr>
        <w:pStyle w:val="BodyText"/>
      </w:pPr>
      <w:r>
        <w:rPr>
          <w:rStyle w:val="ColorGray"/>
        </w:rPr>
        <w:t xml:space="preserve">⟨1⟩</w:t>
      </w:r>
      <w:r>
        <w:rPr>
          <w:rStyle w:val="ColorGray"/>
        </w:rPr>
        <w:t xml:space="preserve"> </w:t>
      </w:r>
      <w:r>
        <w:rPr>
          <w:b/>
          <w:bCs/>
        </w:rPr>
        <w:t xml:space="preserve">śrī</w:t>
      </w:r>
      <w:r>
        <w:t xml:space="preserve">-kaṉṉara-</w:t>
      </w:r>
      <w:r>
        <w:rPr>
          <w:b/>
          <w:bCs/>
        </w:rPr>
        <w:t xml:space="preserve">de</w:t>
      </w:r>
      <w:r>
        <w:t xml:space="preserve">var{ṟ}kku yāṇṭu 2 10 7-Āvatu</w:t>
      </w:r>
    </w:p>
    <w:p>
      <w:pPr>
        <w:pStyle w:val="BodyText"/>
      </w:pPr>
      <w:r>
        <w:rPr>
          <w:b/>
          <w:bCs/>
        </w:rPr>
        <w:t xml:space="preserve">m</w:t>
      </w:r>
      <w:r>
        <w:rPr>
          <w:rStyle w:val="ColorRed"/>
          <w:b/>
          <w:bCs/>
        </w:rPr>
        <w:t xml:space="preserve">¿ā?</w:t>
      </w:r>
      <w:r>
        <w:rPr>
          <w:rStyle w:val="ColorGreen"/>
          <w:b/>
          <w:bCs/>
        </w:rPr>
        <w:t xml:space="preserve">⟨a⟩</w:t>
      </w:r>
      <w:r>
        <w:rPr>
          <w:b/>
          <w:bCs/>
        </w:rPr>
        <w:t xml:space="preserve">hā-sa</w:t>
      </w:r>
      <w:r>
        <w:rPr>
          <w:rStyle w:val="ColorGray"/>
        </w:rPr>
        <w:t xml:space="preserve">⟨2⟩</w:t>
      </w:r>
      <w:r>
        <w:rPr>
          <w:b/>
          <w:bCs/>
        </w:rPr>
        <w:t xml:space="preserve">bhai</w:t>
      </w:r>
      <w:r>
        <w:t xml:space="preserve"> </w:t>
      </w:r>
      <w:r>
        <w:t xml:space="preserve">tiruvaṭi pēr-</w:t>
      </w:r>
      <w:r>
        <w:rPr>
          <w:rStyle w:val="ColorRed"/>
        </w:rPr>
        <w:t xml:space="preserve">¿ā?</w:t>
      </w:r>
      <w:r>
        <w:rPr>
          <w:rStyle w:val="ColorGreen"/>
        </w:rPr>
        <w:t xml:space="preserve">⟨a⟩</w:t>
      </w:r>
      <w:r>
        <w:t xml:space="preserve">mbalattē-y kuṟi kūṭi Irun=tu viṉāp pōkki Oṭṭ’ eḻutt’ i</w:t>
      </w:r>
      <w:r>
        <w:rPr>
          <w:rStyle w:val="ColorGray"/>
        </w:rPr>
        <w:t xml:space="preserve">⟨3⟩</w:t>
      </w:r>
      <w:r>
        <w:t xml:space="preserve">ṭṭu (ku)ṭutta paric’ āvatu</w:t>
      </w:r>
    </w:p>
    <w:p>
      <w:pPr>
        <w:pStyle w:val="BodyText"/>
      </w:pPr>
      <w:r>
        <w:t xml:space="preserve">nammūr</w:t>
      </w:r>
      <w:r>
        <w:t xml:space="preserve"> </w:t>
      </w:r>
      <w:r>
        <w:rPr>
          <w:b/>
          <w:bCs/>
        </w:rPr>
        <w:t xml:space="preserve">śrī</w:t>
      </w:r>
      <w:r>
        <w:t xml:space="preserve">-m</w:t>
      </w:r>
      <w:r>
        <w:rPr>
          <w:rStyle w:val="ColorMagenta"/>
        </w:rPr>
        <w:t xml:space="preserve">¡u!</w:t>
      </w:r>
      <w:r>
        <w:rPr>
          <w:rStyle w:val="ColorBlue"/>
        </w:rPr>
        <w:t xml:space="preserve">⟨ū⟩</w:t>
      </w:r>
      <w:r>
        <w:t xml:space="preserve">la</w:t>
      </w:r>
      <w:r>
        <w:rPr>
          <w:b/>
          <w:bCs/>
        </w:rPr>
        <w:t xml:space="preserve">stā</w:t>
      </w:r>
      <w:r>
        <w:t xml:space="preserve">ṉam-uṭaiya parama-</w:t>
      </w:r>
      <w:r>
        <w:rPr>
          <w:b/>
          <w:bCs/>
        </w:rPr>
        <w:t xml:space="preserve">svā</w:t>
      </w:r>
      <w:r>
        <w:t xml:space="preserve">mikku vētam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⟨4⟩</w:t>
      </w:r>
      <w:r>
        <w:rPr>
          <w:rStyle w:val="ColorGray"/>
        </w:rPr>
        <w:t xml:space="preserve"> </w:t>
      </w:r>
      <w:r>
        <w:t xml:space="preserve">va(l)la</w:t>
      </w:r>
      <w:r>
        <w:t xml:space="preserve"> </w:t>
      </w:r>
      <w:r>
        <w:rPr>
          <w:b/>
          <w:bCs/>
        </w:rPr>
        <w:t xml:space="preserve">brāhma</w:t>
      </w:r>
      <w:r>
        <w:t xml:space="preserve">ṇarai-k koṇṭa tiruvārātaṉai ceyvattukkum (ne)lli Ēttāttu-t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⟨5⟩</w:t>
      </w:r>
      <w:r>
        <w:rPr>
          <w:rStyle w:val="ColorGray"/>
        </w:rPr>
        <w:t xml:space="preserve"> </w:t>
      </w:r>
      <w:r>
        <w:t xml:space="preserve">taṇṇir tiru-mañcaṉa n</w:t>
      </w:r>
      <w:r>
        <w:rPr>
          <w:rStyle w:val="ColorMagenta"/>
        </w:rPr>
        <w:t xml:space="preserve">¡i!</w:t>
      </w:r>
      <w:r>
        <w:rPr>
          <w:rStyle w:val="ColorBlue"/>
        </w:rPr>
        <w:t xml:space="preserve">⟨ī⟩</w:t>
      </w:r>
      <w:r>
        <w:t xml:space="preserve">r Aṭṭuvāṉukkum āka nam</w:t>
      </w:r>
      <w:r>
        <w:t xml:space="preserve"> </w:t>
      </w:r>
      <w:r>
        <w:rPr>
          <w:b/>
          <w:bCs/>
        </w:rPr>
        <w:t xml:space="preserve">brahmade</w:t>
      </w:r>
      <w:r>
        <w:t xml:space="preserve">yam (n)eriñci kuṟumpa</w:t>
      </w:r>
      <w:r>
        <w:rPr>
          <w:rStyle w:val="ColorGray"/>
        </w:rPr>
        <w:t xml:space="preserve">⟨6⟩</w:t>
      </w:r>
      <w:r>
        <w:t xml:space="preserve">ṟ kaḻaṉiyil kaliyūṉṟiyilē cempiyaṉ muṉaippāṭi muvē(n=ta)vēḷāṉ Āvaṇa</w:t>
      </w:r>
      <w:r>
        <w:rPr>
          <w:rStyle w:val="ColorGray"/>
        </w:rPr>
        <w:t xml:space="preserve">⟨7⟩</w:t>
      </w:r>
      <w:r>
        <w:t xml:space="preserve">ttu Irupatu ce(ṟu)vu koṇṭu I</w:t>
      </w:r>
      <w:r>
        <w:rPr>
          <w:b/>
          <w:bCs/>
        </w:rPr>
        <w:t xml:space="preserve">d-dharma</w:t>
      </w:r>
      <w:r>
        <w:t xml:space="preserve">ttkku-k kuṭuttēṉ</w:t>
      </w:r>
    </w:p>
    <w:p>
      <w:pPr>
        <w:pStyle w:val="BodyText"/>
      </w:pPr>
      <w:r>
        <w:t xml:space="preserve">I</w:t>
      </w:r>
      <w:r>
        <w:rPr>
          <w:b/>
          <w:bCs/>
        </w:rPr>
        <w:t xml:space="preserve">d-dhanma</w:t>
      </w:r>
      <w:r>
        <w:t xml:space="preserve">⟨m⟩</w:t>
      </w:r>
      <w:r>
        <w:t xml:space="preserve"> </w:t>
      </w:r>
      <w:r>
        <w:rPr>
          <w:rStyle w:val="ColorRed"/>
          <w:b/>
          <w:bCs/>
        </w:rPr>
        <w:t xml:space="preserve">¿ś?</w:t>
      </w:r>
      <w:r>
        <w:rPr>
          <w:rStyle w:val="ColorGreen"/>
          <w:b/>
          <w:bCs/>
        </w:rPr>
        <w:t xml:space="preserve">⟨c⟩</w:t>
      </w:r>
      <w:r>
        <w:rPr>
          <w:b/>
          <w:bCs/>
        </w:rPr>
        <w:t xml:space="preserve">an</w:t>
      </w:r>
      <w:r>
        <w:rPr>
          <w:rStyle w:val="ColorMagenta"/>
          <w:b/>
          <w:bCs/>
        </w:rPr>
        <w:t xml:space="preserve">¡t!</w:t>
      </w:r>
      <w:r>
        <w:rPr>
          <w:rStyle w:val="ColorBlue"/>
          <w:b/>
          <w:bCs/>
        </w:rPr>
        <w:t xml:space="preserve">⟨d⟩</w:t>
      </w:r>
      <w:r>
        <w:rPr>
          <w:b/>
          <w:bCs/>
        </w:rPr>
        <w:t xml:space="preserve">rā</w:t>
      </w:r>
      <w:r>
        <w:t xml:space="preserve">tittaval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⟨8⟩</w:t>
      </w:r>
      <w:r>
        <w:rPr>
          <w:rStyle w:val="ColorGray"/>
        </w:rPr>
        <w:t xml:space="preserve"> </w:t>
      </w:r>
      <w:r>
        <w:t xml:space="preserve">(niṟu)tti-k ku(ṭu)ttōm</w:t>
      </w:r>
      <w:r>
        <w:t xml:space="preserve"> </w:t>
      </w:r>
      <w:r>
        <w:rPr>
          <w:b/>
          <w:bCs/>
        </w:rPr>
        <w:t xml:space="preserve">ma(h)āsabhai</w:t>
      </w:r>
      <w:r>
        <w:t xml:space="preserve">yōm Iṟai-y-ili-y-āka-c c</w:t>
      </w:r>
      <w:r>
        <w:rPr>
          <w:rStyle w:val="ColorRed"/>
        </w:rPr>
        <w:t xml:space="preserve">¿e?</w:t>
      </w:r>
      <w:r>
        <w:rPr>
          <w:rStyle w:val="ColorGreen"/>
        </w:rPr>
        <w:t xml:space="preserve">⟨ey⟩</w:t>
      </w:r>
      <w:r>
        <w:t xml:space="preserve">tu (kuṭu)⟨t⟩tōm</w:t>
      </w:r>
    </w:p>
    <w:p>
      <w:pPr>
        <w:pStyle w:val="BodyText"/>
      </w:pPr>
      <w:r>
        <w:t xml:space="preserve">Itu</w:t>
      </w:r>
      <w:r>
        <w:rPr>
          <w:rStyle w:val="ColorGray"/>
        </w:rPr>
        <w:t xml:space="preserve">⟨9⟩</w:t>
      </w:r>
      <w:r>
        <w:t xml:space="preserve">kku virōtañ c</w:t>
      </w:r>
      <w:r>
        <w:rPr>
          <w:rStyle w:val="ColorRed"/>
        </w:rPr>
        <w:t xml:space="preserve">¿(e)?</w:t>
      </w:r>
      <w:r>
        <w:rPr>
          <w:rStyle w:val="ColorGreen"/>
        </w:rPr>
        <w:t xml:space="preserve">⟨ey⟩</w:t>
      </w:r>
      <w:r>
        <w:t xml:space="preserve">tarai</w:t>
      </w:r>
      <w:r>
        <w:t xml:space="preserve"> </w:t>
      </w:r>
      <w:r>
        <w:rPr>
          <w:b/>
          <w:bCs/>
        </w:rPr>
        <w:t xml:space="preserve">dhanmāsa</w:t>
      </w:r>
      <w:r>
        <w:t xml:space="preserve">(na)-mutal-āka tā(m) vēṇtu kōvukku vev(veṟ)ṟu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⟨10⟩</w:t>
      </w:r>
      <w:r>
        <w:rPr>
          <w:rStyle w:val="ColorGray"/>
        </w:rPr>
        <w:t xml:space="preserve"> </w:t>
      </w:r>
      <w:r>
        <w:t xml:space="preserve">vakai Iru-pattu Aiṅ-kaḻañcu poṉ maṉṟa-p peṟuvār ākavum</w:t>
      </w:r>
    </w:p>
    <w:p>
      <w:pPr>
        <w:pStyle w:val="BodyText"/>
      </w:pPr>
      <w:r>
        <w:t xml:space="preserve">Ipparicu Ott’ e</w:t>
      </w:r>
      <w:r>
        <w:rPr>
          <w:rStyle w:val="ColorGray"/>
        </w:rPr>
        <w:t xml:space="preserve">⟨11⟩</w:t>
      </w:r>
      <w:r>
        <w:t xml:space="preserve">ḻuttu Iṭṭu-k kuṭuttōm</w:t>
      </w:r>
      <w:r>
        <w:t xml:space="preserve"> </w:t>
      </w:r>
      <w:r>
        <w:rPr>
          <w:b/>
          <w:bCs/>
        </w:rPr>
        <w:t xml:space="preserve">māh</w:t>
      </w:r>
      <w:r>
        <w:rPr>
          <w:rStyle w:val="ColorRed"/>
          <w:b/>
          <w:bCs/>
        </w:rPr>
        <w:t xml:space="preserve">¿ā?</w:t>
      </w:r>
      <w:r>
        <w:rPr>
          <w:rStyle w:val="ColorGreen"/>
          <w:b/>
          <w:bCs/>
        </w:rPr>
        <w:t xml:space="preserve">⟨a⟩</w:t>
      </w:r>
      <w:r>
        <w:rPr>
          <w:b/>
          <w:bCs/>
        </w:rPr>
        <w:t xml:space="preserve">sabhai</w:t>
      </w:r>
      <w:r>
        <w:t xml:space="preserve">yōm</w:t>
      </w:r>
    </w:p>
    <w:p>
      <w:pPr>
        <w:pStyle w:val="Heading1"/>
      </w:pPr>
      <w:r>
        <w:t xml:space="preserve">Translation by Kuppusamy &amp; Vijayavenugopal 2010</w:t>
      </w:r>
    </w:p>
    <w:p>
      <w:pPr>
        <w:pStyle w:val="FirstParagraph"/>
      </w:pPr>
      <w:r>
        <w:rPr>
          <w:rStyle w:val="ColorGray"/>
        </w:rPr>
        <w:t xml:space="preserve">⟨1⟩</w:t>
      </w:r>
      <w:r>
        <w:t xml:space="preserve"> </w:t>
      </w:r>
      <w:r>
        <w:t xml:space="preserve">Hail! Prosperity!</w:t>
      </w:r>
    </w:p>
    <w:p>
      <w:pPr>
        <w:pStyle w:val="BodyText"/>
      </w:pPr>
      <w:r>
        <w:rPr>
          <w:rStyle w:val="ColorGray"/>
        </w:rPr>
        <w:t xml:space="preserve">⟨1⟩</w:t>
      </w:r>
      <w:r>
        <w:t xml:space="preserve"> </w:t>
      </w:r>
      <w:r>
        <w:t xml:space="preserve">27th year ⟨of the reign⟩ of śrī-Kaṉṉara-tēvar.</w:t>
      </w:r>
    </w:p>
    <w:p>
      <w:pPr>
        <w:pStyle w:val="BodyText"/>
      </w:pPr>
      <w:r>
        <w:rPr>
          <w:rStyle w:val="ColorGray"/>
        </w:rPr>
        <w:t xml:space="preserve">⟨1–3⟩</w:t>
      </w:r>
      <w:r>
        <w:t xml:space="preserve"> </w:t>
      </w:r>
      <w:r>
        <w:t xml:space="preserve">The manner in which the great assembly, having met in the big hall of the Lord, have given in writing, after discussions and upon mutual agreement, is ⟨as follows⟩.</w:t>
      </w:r>
    </w:p>
    <w:p>
      <w:pPr>
        <w:pStyle w:val="BodyText"/>
      </w:pPr>
      <w:r>
        <w:rPr>
          <w:rStyle w:val="ColorGray"/>
        </w:rPr>
        <w:t xml:space="preserve">⟨3–7⟩</w:t>
      </w:r>
      <w:r>
        <w:t xml:space="preserve"> </w:t>
      </w:r>
      <w:r>
        <w:t xml:space="preserve">After purchase, I have given to this donation twenty units (</w:t>
      </w:r>
      <w:r>
        <w:rPr>
          <w:i/>
          <w:iCs/>
        </w:rPr>
        <w:t xml:space="preserve">ceṟu</w:t>
      </w:r>
      <w:r>
        <w:t xml:space="preserve">) from the property of Cempiyaṉ Muṉaippāṭi Mūvēntavēḷāṉ in Kaliyūṉṟi at Neriñci Kuṟumpaṟ Kaḻaṉi, our Brahmin settlement, for performing worship to the great Lord of śrī-Mūlastāṉam of our village through the Brahmins who are well versed in Vedas and to the person who supplies water from the Nelli Ēttam</w:t>
      </w:r>
      <w:r>
        <w:rPr>
          <w:rStyle w:val="FootnoteReference"/>
        </w:rPr>
        <w:footnoteReference w:id="9"/>
      </w:r>
      <w:r>
        <w:t xml:space="preserve"> </w:t>
      </w:r>
      <w:r>
        <w:t xml:space="preserve">for the sacred bath.</w:t>
      </w:r>
    </w:p>
    <w:p>
      <w:pPr>
        <w:pStyle w:val="BodyText"/>
      </w:pPr>
      <w:r>
        <w:rPr>
          <w:rStyle w:val="ColorGray"/>
        </w:rPr>
        <w:t xml:space="preserve">⟨7–8⟩</w:t>
      </w:r>
      <w:r>
        <w:t xml:space="preserve"> </w:t>
      </w:r>
      <w:r>
        <w:t xml:space="preserve">We, the members of the great assembly have ratified this donation as long as the moon and the sun will last; we have made it tax-free.</w:t>
      </w:r>
    </w:p>
    <w:p>
      <w:pPr>
        <w:pStyle w:val="BodyText"/>
      </w:pPr>
      <w:r>
        <w:rPr>
          <w:rStyle w:val="ColorGray"/>
        </w:rPr>
        <w:t xml:space="preserve">⟨8–10⟩</w:t>
      </w:r>
      <w:r>
        <w:t xml:space="preserve"> </w:t>
      </w:r>
      <w:r>
        <w:t xml:space="preserve">Twenty-five</w:t>
      </w:r>
      <w:r>
        <w:t xml:space="preserve"> </w:t>
      </w:r>
      <w:r>
        <w:rPr>
          <w:i/>
          <w:iCs/>
        </w:rPr>
        <w:t xml:space="preserve">kaḻañcu</w:t>
      </w:r>
      <w:r>
        <w:t xml:space="preserve">s of gold are to be collected in different ways from those who trespass this agreement, on behalf of the ruler of the day (</w:t>
      </w:r>
      <w:r>
        <w:rPr>
          <w:i/>
          <w:iCs/>
        </w:rPr>
        <w:t xml:space="preserve">aṉṟāḷ kō</w:t>
      </w:r>
      <w:r>
        <w:rPr>
          <w:rStyle w:val="FootnoteReference"/>
        </w:rPr>
        <w:footnoteReference w:id="10"/>
      </w:r>
      <w:r>
        <w:t xml:space="preserve">), as capital for the court of justice.</w:t>
      </w:r>
    </w:p>
    <w:p>
      <w:pPr>
        <w:pStyle w:val="BodyText"/>
      </w:pPr>
      <w:r>
        <w:rPr>
          <w:rStyle w:val="ColorGray"/>
        </w:rPr>
        <w:t xml:space="preserve">⟨10–11⟩</w:t>
      </w:r>
      <w:r>
        <w:t xml:space="preserve"> </w:t>
      </w:r>
      <w:r>
        <w:t xml:space="preserve">In this manner, we have given in writing, after discussions and upon mutual agreement, we the members of the great assembly.</w:t>
      </w:r>
    </w:p>
    <w:p>
      <w:pPr>
        <w:pStyle w:val="Heading1"/>
      </w:pPr>
      <w:r>
        <w:t xml:space="preserve">Bibliography</w:t>
      </w:r>
    </w:p>
    <w:p>
      <w:pPr>
        <w:pStyle w:val="FirstParagraph"/>
      </w:pPr>
      <w:r>
        <w:t xml:space="preserve">Reported in ARIE 1901–02 (ARIE/1901-1902/B/1902/184).</w:t>
      </w:r>
    </w:p>
    <w:p>
      <w:pPr>
        <w:pStyle w:val="BodyText"/>
      </w:pPr>
      <w:r>
        <w:t xml:space="preserve">Edited in Subrahmanya Aiyer 1932 (</w:t>
      </w:r>
      <w:hyperlink r:id="rId11">
        <w:r>
          <w:rPr>
            <w:rStyle w:val="Hyperlink"/>
          </w:rPr>
          <w:t xml:space="preserve">SII 7.811</w:t>
        </w:r>
      </w:hyperlink>
      <w:r>
        <w:t xml:space="preserve">).</w:t>
      </w:r>
    </w:p>
    <w:p>
      <w:pPr>
        <w:pStyle w:val="BodyText"/>
      </w:pPr>
      <w:r>
        <w:t xml:space="preserve">Edited in Kuppusamy &amp; Vijayavenugopal 2006 (PI 8) and translated in Kuppusamy &amp; Vijayavenugopal 2010 (PI 8).</w:t>
      </w:r>
    </w:p>
    <w:p>
      <w:pPr>
        <w:pStyle w:val="BodyText"/>
      </w:pPr>
      <w:r>
        <w:t xml:space="preserve">This digital edition by Emmanuel Francis, based on Kuppusamy &amp; Vijayavenugopal 2006. This translation adapted from Kuppusamy &amp; Vijayavenugopal 2010.</w:t>
      </w:r>
    </w:p>
    <w:p>
      <w:pPr>
        <w:pStyle w:val="Heading2"/>
      </w:pPr>
      <w:r>
        <w:t xml:space="preserve">Primary</w:t>
      </w:r>
    </w:p>
    <w:p>
      <w:pPr>
        <w:pStyle w:val="FirstParagraph"/>
      </w:pPr>
      <w:r>
        <w:rPr>
          <w:b/>
          <w:bCs/>
        </w:rPr>
        <w:t xml:space="preserve">[SII]</w:t>
      </w:r>
      <w:r>
        <w:t xml:space="preserve"> </w:t>
      </w:r>
      <w:r>
        <w:t xml:space="preserve">Subrahmanya Aiyer, K.V. 1932.</w:t>
      </w:r>
      <w:r>
        <w:t xml:space="preserve"> </w:t>
      </w:r>
      <w:r>
        <w:rPr>
          <w:i/>
          <w:iCs/>
        </w:rPr>
        <w:t xml:space="preserve">South-Indian inscriptions (texts). Volume VII: Miscellaneous inscriptions from the Tamil, Malayalam, Telugu and Kannada countries</w:t>
      </w:r>
      <w:r>
        <w:t xml:space="preserve">. South Indian Inscriptions 7. Calcutta: Government of India, Central Publication Branch. Page 412, item 811.</w:t>
      </w:r>
    </w:p>
    <w:p>
      <w:pPr>
        <w:pStyle w:val="BodyText"/>
      </w:pPr>
      <w:r>
        <w:rPr>
          <w:b/>
          <w:bCs/>
        </w:rPr>
        <w:t xml:space="preserve">[PI]</w:t>
      </w:r>
      <w:r>
        <w:t xml:space="preserve"> </w:t>
      </w:r>
      <w:r>
        <w:t xml:space="preserve">Kuppusamy, Bahour S. &amp; G. Vijayavenugopal. 2006.</w:t>
      </w:r>
      <w:r>
        <w:t xml:space="preserve"> </w:t>
      </w:r>
      <w:r>
        <w:rPr>
          <w:i/>
          <w:iCs/>
        </w:rPr>
        <w:t xml:space="preserve">Pondicherry inscriptions. Part I: Introduction and texts with notes = Putuccēri mānilak kalveṭṭukkaḷ</w:t>
      </w:r>
      <w:r>
        <w:t xml:space="preserve">. Pondichéry: Ecole française d’Extrême-Orient; Institut français de Pondichéry. Page 6, item 8.</w:t>
      </w:r>
    </w:p>
    <w:p>
      <w:pPr>
        <w:pStyle w:val="BodyText"/>
      </w:pPr>
      <w:r>
        <w:rPr>
          <w:b/>
          <w:bCs/>
        </w:rPr>
        <w:t xml:space="preserve">[PI]</w:t>
      </w:r>
      <w:r>
        <w:t xml:space="preserve"> </w:t>
      </w:r>
      <w:r>
        <w:t xml:space="preserve">Kuppusamy, Bahour S. &amp; G. Vijayavenugopal. 2010.</w:t>
      </w:r>
      <w:r>
        <w:t xml:space="preserve"> </w:t>
      </w:r>
      <w:r>
        <w:rPr>
          <w:i/>
          <w:iCs/>
        </w:rPr>
        <w:t xml:space="preserve">Pondicherry inscriptions. Part II: Translation, appendices, glossary and phrases, [and] preface = Putuccēri mānilak kalveṭṭukkaḷ</w:t>
      </w:r>
      <w:r>
        <w:t xml:space="preserve">. Pondichéry: Ecole française d’Extrême-Orient; Institut français de Pondichéry. Page 3, item 8.</w:t>
      </w:r>
    </w:p>
    <w:p>
      <w:pPr>
        <w:pStyle w:val="Heading2"/>
      </w:pPr>
      <w:r>
        <w:t xml:space="preserve">Secondary</w:t>
      </w:r>
    </w:p>
    <w:p>
      <w:pPr>
        <w:pStyle w:val="FirstParagraph"/>
      </w:pPr>
      <w:r>
        <w:rPr>
          <w:b/>
          <w:bCs/>
        </w:rPr>
        <w:t xml:space="preserve">[ARIE]</w:t>
      </w:r>
      <w:r>
        <w:t xml:space="preserve"> </w:t>
      </w:r>
      <w:r>
        <w:t xml:space="preserve">ARIE 1901–02.</w:t>
      </w:r>
      <w:r>
        <w:t xml:space="preserve"> </w:t>
      </w:r>
      <w:r>
        <w:rPr>
          <w:i/>
          <w:iCs/>
        </w:rPr>
        <w:t xml:space="preserve">G.O. Nos. 763, 764, 6th August 1902. Epigraphy. Passing orders on the annual report on – for 1901-1902. Copy to the Government of India</w:t>
      </w:r>
      <w:r>
        <w:t xml:space="preserve">. Edited by Eugen Julius Theodor Hultzsch. Madras: Government of Madras, Public Department, 1902. Page 14, appendix B/1902, item 184.</w:t>
      </w:r>
    </w:p>
    <w:sectPr>
      <w:footnotePr>
        <w:numFmt w:val="decimal"/>
        <w:numRestart w:val="eachSect"/>
      </w:footnotePr>
      <w:type w:val="nextPage"/>
      <w:pgSz w:h="15840" w:w="12240"/>
      <w:pgMar w:bottom="1440" w:footer="0" w:gutter="0" w:header="0" w:left="1440" w:right="1440" w:top="1440"/>
      <w:pgNumType w:fmt="decimal"/>
      <w:formProt w:val="false"/>
      <w:textDirection w:val="lrTb"/>
      <w:docGrid w:charSpace="0" w:linePitch="100" w:type="default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ptos">
    <w:charset w:val="01"/>
    <w:family w:val="auto"/>
    <w:pitch w:val="default"/>
  </w:font>
  <w:font w:name="Gentium">
    <w:charset w:val="01"/>
    <w:family w:val="auto"/>
    <w:pitch w:val="default"/>
  </w:font>
  <w:font w:name="Aptos Display">
    <w:charset w:val="01"/>
    <w:family w:val="auto"/>
    <w:pitch w:val="default"/>
  </w:font>
  <w:font w:name="Consolas">
    <w:charset w:val="01"/>
    <w:family w:val="auto"/>
    <w:pitch w:val="default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  <w:footnote w:id="9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That is, Ēṟṟam.</w:t>
      </w:r>
    </w:p>
  </w:footnote>
  <w:footnote w:id="10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Emmanuel Francis: The word</w:t>
      </w:r>
      <w:r>
        <w:t xml:space="preserve"> </w:t>
      </w:r>
      <w:r>
        <w:rPr>
          <w:i/>
          <w:iCs/>
        </w:rPr>
        <w:t xml:space="preserve">aṉṟāḷ</w:t>
      </w:r>
      <w:r>
        <w:t xml:space="preserve"> </w:t>
      </w:r>
      <w:r>
        <w:t xml:space="preserve">is not in the original text.</w:t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>
    <w:abstractNumId w:val="1"/>
  </w:num>
  <w:num w:numId="2">
    <w:abstractNumId w:val="2"/>
  </w: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75"/>
  <w:embedSystemFonts/>
  <w:proofState w:grammar="clean" w:spelling="clean"/>
  <w:stylePaneFormatFilter w:val="0004"/>
  <w:doNotTrackMoves/>
  <w:defaultTabStop w:val="720"/>
  <w:autoHyphenation w:val="true"/>
  <w:hyphenationZone w:val="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compatSetting w:name="compatibilityMode" w:uri="http://schemas.microsoft.com/office/word" w:val="12"/>
  </w:compat>
  <w:rsids>
  </w:rsids>
  <w:themeFontLang w:bidi="" w:eastAsia="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Aptos" w:asciiTheme="minorHAnsi" w:cs="" w:cstheme="minorBidi" w:eastAsia="Aptos" w:eastAsiaTheme="minorHAnsi" w:hAnsi="Aptos" w:hAnsiTheme="minorHAnsi"/>
        <w:sz w:val="24"/>
        <w:szCs w:val="24"/>
        <w:lang w:bidi="ar-SA" w:eastAsia="en-US" w:val="en-US"/>
      </w:rPr>
    </w:rPrDefault>
    <w:pPrDefault>
      <w:pPr>
        <w:suppressAutoHyphens w:val="true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widowControl/>
      <w:suppressAutoHyphens w:val="true"/>
      <w:bidi w:val="0"/>
      <w:spacing w:after="200" w:before="0" w:line="276" w:lineRule="auto"/>
      <w:jc w:val="left"/>
    </w:pPr>
    <w:rPr>
      <w:rFonts w:ascii="Gentium" w:cs="" w:cstheme="minorBidi" w:eastAsia="Aptos" w:eastAsiaTheme="minorHAnsi" w:hAnsi="Gentium"/>
      <w:color w:val="auto"/>
      <w:kern w:val="0"/>
      <w:sz w:val="24"/>
      <w:szCs w:val="24"/>
      <w:lang w:bidi="ar-SA" w:eastAsia="en-US" w:val="en-US"/>
    </w:rPr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 w:val="true"/>
      <w:keepLines/>
      <w:spacing w:after="80" w:before="360" w:line="240" w:lineRule="auto"/>
      <w:outlineLvl w:val="0"/>
    </w:pPr>
    <w:rPr>
      <w:rFonts w:ascii="Gentium" w:cs="" w:cstheme="majorBidi" w:eastAsia="" w:eastAsiaTheme="majorEastAsia" w:hAnsi="Gentium"/>
      <w:color w:val="auto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 w:val="true"/>
      <w:keepLines/>
      <w:spacing w:after="80" w:before="160"/>
      <w:outlineLvl w:val="1"/>
    </w:pPr>
    <w:rPr>
      <w:rFonts w:ascii="Gentium" w:cs="" w:cstheme="majorBidi" w:eastAsia="" w:eastAsiaTheme="majorEastAsia" w:hAnsi="Gentium"/>
      <w:color w:val="000000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 w:val="true"/>
      <w:keepLines/>
      <w:spacing w:after="80" w:before="160"/>
      <w:outlineLvl w:val="2"/>
    </w:pPr>
    <w:rPr>
      <w:rFonts w:ascii="Gentium" w:cs="" w:cstheme="majorBidi" w:eastAsia="" w:eastAsiaTheme="majorEastAsia" w:hAnsi="Gentium"/>
      <w:color w:val="000000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 w:val="true"/>
      <w:keepLines/>
      <w:spacing w:after="40" w:before="80"/>
      <w:outlineLvl w:val="3"/>
    </w:pPr>
    <w:rPr>
      <w:rFonts w:ascii="Gentium" w:cs="" w:cstheme="majorBidi" w:eastAsia="" w:eastAsiaTheme="majorEastAsia" w:hAnsi="Gentium"/>
      <w:i/>
      <w:iCs/>
      <w:color w:val="000000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 w:val="true"/>
      <w:keepLines/>
      <w:spacing w:after="40" w:before="80"/>
      <w:outlineLvl w:val="4"/>
    </w:pPr>
    <w:rPr>
      <w:rFonts w:ascii="Gentium" w:cs="" w:cstheme="majorBidi" w:eastAsia="" w:eastAsiaTheme="majorEastAsia" w:hAnsi="Gentium"/>
      <w:color w:val="000000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 w:val="true"/>
      <w:keepLines/>
      <w:spacing w:after="0" w:before="40"/>
      <w:outlineLvl w:val="5"/>
    </w:pPr>
    <w:rPr>
      <w:rFonts w:ascii="Gentium" w:cs="" w:cstheme="majorBidi" w:eastAsia="" w:eastAsiaTheme="majorEastAsia" w:hAnsi="Gentium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 w:val="true"/>
      <w:keepLines/>
      <w:spacing w:after="0" w:before="40"/>
      <w:outlineLvl w:val="6"/>
    </w:pPr>
    <w:rPr>
      <w:rFonts w:ascii="Gentium" w:cs="" w:cstheme="majorBidi" w:eastAsia="" w:eastAsiaTheme="majorEastAsia" w:hAnsi="Gentium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 w:val="true"/>
      <w:keepLines/>
      <w:spacing w:after="0" w:before="0"/>
      <w:outlineLvl w:val="7"/>
    </w:pPr>
    <w:rPr>
      <w:rFonts w:ascii="Gentium" w:cs="" w:cstheme="majorBidi" w:eastAsia="" w:eastAsiaTheme="majorEastAsia" w:hAnsi="Gentium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 w:val="true"/>
      <w:keepLines/>
      <w:spacing w:after="0" w:before="0"/>
      <w:outlineLvl w:val="8"/>
    </w:pPr>
    <w:rPr>
      <w:rFonts w:ascii="Gentium" w:cs="" w:cstheme="majorBidi" w:eastAsia="" w:eastAsiaTheme="majorEastAsia" w:hAnsi="Gentium"/>
      <w:color w:themeColor="text1" w:themeTint="d8" w:val="272727"/>
    </w:rPr>
  </w:style>
  <w:style w:customStyle="1" w:styleId="TitleChar" w:type="character">
    <w:name w:val="Title Char"/>
    <w:basedOn w:val="DefaultParagraphFont"/>
    <w:link w:val="Title"/>
    <w:uiPriority w:val="10"/>
    <w:qFormat/>
    <w:rsid w:val="00a10fd9"/>
    <w:rPr>
      <w:rFonts w:ascii="Aptos Display" w:asciiTheme="majorHAnsi" w:cs="" w:cstheme="majorBidi" w:eastAsia="" w:eastAsiaTheme="majorEastAsia" w:hAnsi="Aptos Display" w:hAnsiTheme="majorHAnsi"/>
      <w:sz w:val="56"/>
      <w:szCs w:val="56"/>
    </w:rPr>
  </w:style>
  <w:style w:customStyle="1" w:styleId="SubtitleChar" w:type="character">
    <w:name w:val="Subtitle Char"/>
    <w:basedOn w:val="DefaultParagraphFont"/>
    <w:link w:val="Subtitle"/>
    <w:uiPriority w:val="11"/>
    <w:qFormat/>
    <w:rsid w:val="00a10fd9"/>
    <w:rPr>
      <w:rFonts w:cs="" w:cstheme="majorBidi" w:eastAsia="" w:eastAsiaTheme="majorEastAsia"/>
      <w:color w:themeColor="text1" w:themeTint="a6" w:val="595959"/>
      <w:spacing w:val="15"/>
      <w:sz w:val="28"/>
      <w:szCs w:val="28"/>
    </w:rPr>
  </w:style>
  <w:style w:customStyle="1" w:styleId="Heading1Char" w:type="character">
    <w:name w:val="Heading 1 Char"/>
    <w:basedOn w:val="DefaultParagraphFont"/>
    <w:link w:val="Heading1"/>
    <w:uiPriority w:val="9"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qFormat/>
    <w:rsid w:val="00a10fd9"/>
    <w:rPr>
      <w:rFonts w:cs="" w:cstheme="majorBidi" w:eastAsia="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qFormat/>
    <w:rsid w:val="00a10fd9"/>
    <w:rPr>
      <w:rFonts w:cs="" w:cstheme="majorBidi" w:eastAsia="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qFormat/>
    <w:rsid w:val="00a10fd9"/>
    <w:rPr>
      <w:rFonts w:cs="" w:cstheme="majorBidi" w:eastAsia="" w:eastAsiaTheme="majorEastAsia"/>
      <w:color w:themeColor="text1" w:themeTint="d8" w:val="272727"/>
    </w:rPr>
  </w:style>
  <w:style w:default="1" w:styleId="DefaultParagraphFont" w:type="character">
    <w:name w:val="Default Paragraph Font"/>
    <w:semiHidden/>
    <w:unhideWhenUsed/>
    <w:qFormat/>
    <w:rPr/>
  </w:style>
  <w:style w:customStyle="1" w:styleId="BodyTextChar" w:type="character">
    <w:name w:val="Body Text Char"/>
    <w:basedOn w:val="DefaultParagraphFont"/>
    <w:qFormat/>
    <w:rPr/>
  </w:style>
  <w:style w:customStyle="1" w:styleId="VerbatimChar" w:type="character">
    <w:name w:val="Verbatim Char"/>
    <w:basedOn w:val="BodyTextChar"/>
    <w:qFormat/>
    <w:rPr>
      <w:rFonts w:ascii="Consolas" w:hAnsi="Consolas"/>
      <w:sz w:val="22"/>
    </w:rPr>
  </w:style>
  <w:style w:customStyle="1" w:styleId="SectionNumber" w:type="character">
    <w:name w:val="Section Number"/>
    <w:basedOn w:val="BodyTextChar"/>
    <w:qFormat/>
    <w:rPr/>
  </w:style>
  <w:style w:styleId="FootnoteCharactersuser" w:type="character">
    <w:name w:val="Footnote Characters (user)"/>
    <w:qFormat/>
    <w:rPr>
      <w:vertAlign w:val="superscript"/>
    </w:rPr>
  </w:style>
  <w:style w:styleId="FootnoteCharacters" w:type="character">
    <w:name w:val="Footnote Characters"/>
    <w:qFormat/>
    <w:rPr>
      <w:vertAlign w:val="superscript"/>
    </w:rPr>
  </w:style>
  <w:style w:styleId="FootnoteReference" w:type="character">
    <w:name w:val="footnote reference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ColorGray" w:type="character">
    <w:name w:val="ColorGray"/>
    <w:basedOn w:val="BodyTextChar"/>
    <w:qFormat/>
    <w:rPr>
      <w:color w:val="666666"/>
    </w:rPr>
  </w:style>
  <w:style w:styleId="ColorGreen" w:type="character">
    <w:name w:val="ColorGreen"/>
    <w:basedOn w:val="DefaultParagraphFont"/>
    <w:qFormat/>
    <w:rPr>
      <w:color w:val="069A2E"/>
    </w:rPr>
  </w:style>
  <w:style w:styleId="ColorBrown" w:type="character">
    <w:name w:val="ColorBrown"/>
    <w:basedOn w:val="ColorGreen"/>
    <w:qFormat/>
    <w:rPr>
      <w:color w:val="784B04"/>
    </w:rPr>
  </w:style>
  <w:style w:styleId="CaptionCharactersuser" w:type="character">
    <w:name w:val="Caption Characters (user)"/>
    <w:qFormat/>
    <w:rPr/>
  </w:style>
  <w:style w:styleId="ColorRed" w:type="character">
    <w:name w:val="ColorRed"/>
    <w:basedOn w:val="CaptionCharactersuser"/>
    <w:qFormat/>
    <w:rPr>
      <w:color w:val="C9211E"/>
    </w:rPr>
  </w:style>
  <w:style w:styleId="ColorMagenta" w:type="character">
    <w:name w:val="ColorMagenta"/>
    <w:basedOn w:val="ColorBrown"/>
    <w:qFormat/>
    <w:rPr>
      <w:color w:val="800080"/>
    </w:rPr>
  </w:style>
  <w:style w:styleId="ColorBlue" w:type="character">
    <w:name w:val="ColorBlue"/>
    <w:basedOn w:val="ColorGray"/>
    <w:qFormat/>
    <w:rPr>
      <w:color w:val="2A6099"/>
    </w:rPr>
  </w:style>
  <w:style w:styleId="ColorBlack" w:type="character">
    <w:name w:val="ColorBlack"/>
    <w:basedOn w:val="ColorBlue"/>
    <w:qFormat/>
    <w:rPr>
      <w:color w:val="000000"/>
    </w:rPr>
  </w:style>
  <w:style w:styleId="EndnoteCharacters" w:type="character">
    <w:name w:val="Endnote Characters"/>
    <w:qFormat/>
    <w:rPr>
      <w:vertAlign w:val="superscript"/>
    </w:rPr>
  </w:style>
  <w:style w:styleId="EndnoteCharactersuser" w:type="character">
    <w:name w:val="Endnote Characters (user)"/>
    <w:qFormat/>
    <w:rPr>
      <w:vertAlign w:val="superscript"/>
    </w:rPr>
  </w:style>
  <w:style w:styleId="EndnoteReference" w:type="character">
    <w:name w:val="endnote reference"/>
    <w:rPr>
      <w:vertAlign w:val="superscript"/>
    </w:rPr>
  </w:style>
  <w:style w:styleId="Heading" w:type="paragraph">
    <w:name w:val="Heading"/>
    <w:basedOn w:val="Normal"/>
    <w:next w:val="BodyText"/>
    <w:qFormat/>
    <w:pPr>
      <w:keepNext w:val="true"/>
      <w:spacing w:after="120" w:before="240"/>
    </w:pPr>
    <w:rPr>
      <w:rFonts w:ascii="Gentium" w:cs="Noto Sans Devanagari" w:eastAsia="Noto Sans CJK SC" w:hAnsi="Gentium"/>
      <w:sz w:val="28"/>
      <w:szCs w:val="28"/>
    </w:rPr>
  </w:style>
  <w:style w:styleId="BodyText" w:type="paragraph">
    <w:name w:val="Body Text"/>
    <w:basedOn w:val="Normal"/>
    <w:link w:val="BodyTextChar"/>
    <w:qFormat/>
    <w:pPr>
      <w:spacing w:after="180" w:before="180" w:line="276" w:lineRule="auto"/>
    </w:pPr>
    <w:rPr>
      <w:rFonts w:ascii="Gentium" w:hAnsi="Gentium"/>
    </w:rPr>
  </w:style>
  <w:style w:styleId="List" w:type="paragraph">
    <w:name w:val="List"/>
    <w:basedOn w:val="BodyText"/>
    <w:pPr/>
    <w:rPr>
      <w:rFonts w:ascii="Gentium" w:cs="Noto Sans Devanagari" w:hAnsi="Gentium"/>
    </w:rPr>
  </w:style>
  <w:style w:styleId="Caption" w:type="paragraph">
    <w:name w:val="caption"/>
    <w:basedOn w:val="Normal"/>
    <w:link w:val="BodyTextChar"/>
    <w:qFormat/>
    <w:pPr>
      <w:spacing w:after="120" w:before="0"/>
    </w:pPr>
    <w:rPr>
      <w:rFonts w:ascii="Gentium" w:hAnsi="Gentium"/>
      <w:i/>
    </w:rPr>
  </w:style>
  <w:style w:styleId="Index" w:type="paragraph">
    <w:name w:val="Index"/>
    <w:basedOn w:val="Normal"/>
    <w:qFormat/>
    <w:pPr>
      <w:suppressLineNumbers/>
    </w:pPr>
    <w:rPr>
      <w:rFonts w:ascii="Gentium" w:cs="Noto Sans Devanagari" w:hAnsi="Gentium"/>
    </w:rPr>
  </w:style>
  <w:style w:customStyle="1" w:styleId="FirstParagraph" w:type="paragraph">
    <w:name w:val="First Paragraph"/>
    <w:basedOn w:val="BodyText"/>
    <w:next w:val="BodyText"/>
    <w:qFormat/>
    <w:pPr>
      <w:spacing w:line="276" w:lineRule="auto"/>
    </w:pPr>
    <w:rPr>
      <w:rFonts w:ascii="Gentium" w:hAnsi="Gentium"/>
    </w:rPr>
  </w:style>
  <w:style w:customStyle="1" w:styleId="Compact" w:type="paragraph">
    <w:name w:val="Compact"/>
    <w:basedOn w:val="BodyText"/>
    <w:qFormat/>
    <w:pPr>
      <w:spacing w:after="36" w:before="36"/>
    </w:pPr>
    <w:rPr/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before="0" w:line="240" w:lineRule="auto"/>
      <w:contextualSpacing/>
      <w:jc w:val="center"/>
    </w:pPr>
    <w:rPr>
      <w:rFonts w:ascii="Gentium" w:cs="" w:cstheme="majorBidi" w:eastAsia="" w:eastAsiaTheme="majorEastAsia" w:hAnsi="Gentium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/>
    <w:rPr>
      <w:rFonts w:cs="" w:cstheme="majorBidi" w:eastAsia="" w:eastAsiaTheme="majorEastAsia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 w:val="true"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 w:val="true"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 w:val="true"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 w:val="true"/>
      <w:keepLines/>
      <w:spacing w:after="300" w:before="100"/>
    </w:pPr>
    <w:rPr>
      <w:rFonts w:ascii="Gentium" w:hAnsi="Gentium"/>
      <w:sz w:val="20"/>
      <w:szCs w:val="20"/>
    </w:rPr>
  </w:style>
  <w:style w:styleId="Bibliography" w:type="paragraph">
    <w:name w:val="Bibliography"/>
    <w:basedOn w:val="Normal"/>
    <w:qFormat/>
    <w:pPr/>
    <w:rPr/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hanging="0" w:left="480" w:right="480"/>
    </w:pPr>
    <w:rPr/>
  </w:style>
  <w:style w:styleId="FootnoteText" w:type="paragraph">
    <w:name w:val="footnote text"/>
    <w:basedOn w:val="Normal"/>
    <w:uiPriority w:val="9"/>
    <w:unhideWhenUsed/>
    <w:qFormat/>
    <w:pPr/>
    <w:rPr>
      <w:rFonts w:ascii="Gentium" w:hAnsi="Gentium"/>
    </w:rPr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hanging="0" w:left="480" w:right="480"/>
    </w:pPr>
    <w:rPr>
      <w:rFonts w:ascii="Gentium" w:hAnsi="Gentium"/>
    </w:rPr>
  </w:style>
  <w:style w:customStyle="1" w:styleId="DefinitionTerm" w:type="paragraph">
    <w:name w:val="Definition Term"/>
    <w:basedOn w:val="Normal"/>
    <w:next w:val="Definition"/>
    <w:qFormat/>
    <w:pPr>
      <w:keepNext w:val="true"/>
      <w:keepLines/>
      <w:spacing w:after="0" w:before="0"/>
    </w:pPr>
    <w:rPr>
      <w:rFonts w:ascii="Gentium" w:hAnsi="Gentium"/>
      <w:b/>
    </w:rPr>
  </w:style>
  <w:style w:customStyle="1" w:styleId="Definition" w:type="paragraph">
    <w:name w:val="Definition"/>
    <w:basedOn w:val="Normal"/>
    <w:qFormat/>
    <w:pPr>
      <w:ind w:left="475"/>
    </w:pPr>
    <w:rPr>
      <w:rFonts w:ascii="Gentium" w:hAnsi="Gentium"/>
    </w:rPr>
  </w:style>
  <w:style w:customStyle="1" w:styleId="TableCaption" w:type="paragraph">
    <w:name w:val="Table Caption"/>
    <w:basedOn w:val="Caption"/>
    <w:qFormat/>
    <w:pPr>
      <w:keepNext w:val="true"/>
    </w:pPr>
    <w:rPr/>
  </w:style>
  <w:style w:customStyle="1" w:styleId="ImageCaption" w:type="paragraph">
    <w:name w:val="Image Caption"/>
    <w:basedOn w:val="Caption"/>
    <w:qFormat/>
    <w:pPr/>
    <w:rPr/>
  </w:style>
  <w:style w:customStyle="1" w:styleId="Figure" w:type="paragraph">
    <w:name w:val="Figure"/>
    <w:basedOn w:val="Normal"/>
    <w:qFormat/>
    <w:pPr/>
    <w:rPr/>
  </w:style>
  <w:style w:customStyle="1" w:styleId="CaptionedFigure" w:type="paragraph">
    <w:name w:val="Captioned Figure"/>
    <w:basedOn w:val="Figure"/>
    <w:qFormat/>
    <w:pPr>
      <w:keepNext w:val="true"/>
    </w:pPr>
    <w:rPr/>
  </w:style>
  <w:style w:styleId="IndexHeading" w:type="paragraph">
    <w:name w:val="index heading"/>
    <w:basedOn w:val="Heading"/>
    <w:pPr/>
    <w:rPr/>
  </w:style>
  <w:style w:styleId="TOCHeading" w:type="paragraph">
    <w:name w:val="TOC Heading"/>
    <w:basedOn w:val="Heading1"/>
    <w:next w:val="BodyText"/>
    <w:uiPriority w:val="39"/>
    <w:unhideWhenUsed/>
    <w:qFormat/>
    <w:pPr>
      <w:spacing w:after="80" w:before="240" w:line="259" w:lineRule="auto"/>
      <w:outlineLvl w:val="9"/>
    </w:pPr>
    <w:rPr>
      <w:rFonts w:ascii="Aptos Display" w:asciiTheme="majorHAnsi" w:cs="" w:cstheme="majorBidi" w:eastAsia="" w:eastAsiaTheme="majorEastAsia" w:hAnsi="Aptos Display" w:hAnsiTheme="majorHAnsi"/>
      <w:b w:val="false"/>
      <w:bCs w:val="false"/>
      <w:color w:themeColor="accent1" w:themeShade="bf" w:val="365F91"/>
    </w:rPr>
  </w:style>
  <w:style w:styleId="Heading10" w:type="paragraph">
    <w:name w:val="Heading 10"/>
    <w:basedOn w:val="Heading"/>
    <w:next w:val="BodyText"/>
    <w:qFormat/>
    <w:pPr>
      <w:numPr>
        <w:ilvl w:val="8"/>
        <w:numId w:val="1"/>
      </w:numPr>
      <w:spacing w:after="60" w:before="60"/>
      <w:outlineLvl w:val="8"/>
    </w:pPr>
    <w:rPr>
      <w:b/>
      <w:bCs/>
      <w:sz w:val="18"/>
      <w:szCs w:val="18"/>
    </w:rPr>
  </w:style>
  <w:style w:styleId="BodyTextIndent" w:type="paragraph">
    <w:name w:val="Body Text Indent"/>
    <w:basedOn w:val="BodyText"/>
    <w:pPr>
      <w:ind w:hanging="0" w:left="283"/>
    </w:pPr>
    <w:rPr/>
  </w:style>
  <w:style w:styleId="BlockQuotationuser" w:type="paragraph">
    <w:name w:val="Block Quotation (user)"/>
    <w:basedOn w:val="Normal"/>
    <w:qFormat/>
    <w:pPr>
      <w:spacing w:after="283" w:before="0"/>
      <w:ind w:hanging="0" w:left="567" w:right="567"/>
    </w:pPr>
    <w:rPr>
      <w:rFonts w:ascii="Gentium" w:hAnsi="Gentium"/>
    </w:rPr>
  </w:style>
  <w:style w:default="1" w:styleId="Table" w:type="table">
    <w:name w:val="Table"/>
    <w:basedOn w:val="TableNormal"/>
    <w:semiHidden/>
    <w:unhideWhenUsed/>
    <w:qFormat/>
    <w:tblPr>
      <w:tblCellMar>
        <w:top w:type="dxa" w:w="0"/>
        <w:left w:type="dxa" w:w="108"/>
        <w:bottom w:type="dxa" w:w="0"/>
        <w:right w:type="dxa" w:w="108"/>
      </w:tblCellMar>
    </w:tblPr>
    <w:tblStylePr w:type="firstRow">
      <w:tblPr/>
      <w:tcPr>
        <w:tcBorders>
          <w:bottom w:val="single"/>
        </w:tcBorders>
        <w:vAlign w:val="bottom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ttps://dharmalekha.info/texts/INSSIIv07p0i080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ttps://dharmalekha.info/texts/INSSIIv07p0i0804" TargetMode="External" 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Application>LibreOffice/26.2.6.3$Linux_X86_64 LibreOffice_project/620$Build-3</Application>
  <AppVersion>15.0000</AppVersion>
  <Pages>2</Pages>
  <Words>60</Words>
  <Characters>366</Characters>
  <CharactersWithSpaces>396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Pākūr / Vākūr / Bahur, Tirumūlanātar temple, time of Kaṉṉaradeva, year 27</dc:title>
  <dc:creator>Emmanuel Francis</dc:creator>
  <cp:keywords/>
  <dcterms:created xsi:type="dcterms:W3CDTF">2026-11-06T00:09:50Z</dcterms:created>
  <dcterms:modified xsi:type="dcterms:W3CDTF">2026-11-06T00:09:50Z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