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Pākūr / Vākūr / Bahur, Tirumūlanātar temple, time of Kaṉṉaradeva, year 22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DHARMA_INSPondicherry00006</w:t>
      </w:r>
    </w:p>
    <w:p>
      <w:pPr>
        <w:pStyle w:val="BodyText"/>
      </w:pPr>
      <w:r>
        <w:t xml:space="preserve">Repository: Pondicherry (tfa-pondicherry-epigraphy)</w:t>
      </w:r>
    </w:p>
    <w:p>
      <w:pPr>
        <w:pStyle w:val="BodyText"/>
      </w:pPr>
      <w:r>
        <w:t xml:space="preserve">File path: DHARMA_INSPondicherry00006.xml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2026-11-05 12:37 (792c458), last modified 2026-11-05 12:37 (2b39f32)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rPr>
          <w:i/>
          <w:iCs/>
        </w:rPr>
        <w:t xml:space="preserve">Ardhamaṇḍapa</w:t>
      </w:r>
      <w:r>
        <w:t xml:space="preserve">, east wall. Kaṉṉaradeva = Kṛṣṇa III Rāṣṭrakūṭa, RY 24 = 963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śrī</w:t>
      </w:r>
      <w:r>
        <w:t xml:space="preserve">-kaṉṉara-</w:t>
      </w:r>
      <w:r>
        <w:rPr>
          <w:b/>
          <w:bCs/>
        </w:rPr>
        <w:t xml:space="preserve">de</w:t>
      </w:r>
      <w:r>
        <w:t xml:space="preserve">varkku yāṇṭu 2 10 4-vatu</w:t>
      </w:r>
    </w:p>
    <w:p>
      <w:pPr>
        <w:pStyle w:val="BodyText"/>
      </w:pPr>
      <w:r>
        <w:t xml:space="preserve">vā</w:t>
      </w:r>
      <w:r>
        <w:rPr>
          <w:rStyle w:val="ColorGray"/>
        </w:rPr>
        <w:t xml:space="preserve">⟨2⟩</w:t>
      </w:r>
      <w:r>
        <w:t xml:space="preserve">kūr</w:t>
      </w:r>
      <w:r>
        <w:t xml:space="preserve"> </w:t>
      </w:r>
      <w:r>
        <w:rPr>
          <w:b/>
          <w:bCs/>
        </w:rPr>
        <w:t xml:space="preserve">śrī</w:t>
      </w:r>
      <w:r>
        <w:t xml:space="preserve">-m</w:t>
      </w:r>
      <w:r>
        <w:rPr>
          <w:rStyle w:val="ColorMagenta"/>
        </w:rPr>
        <w:t xml:space="preserve">¡u!</w:t>
      </w:r>
      <w:r>
        <w:rPr>
          <w:rStyle w:val="ColorBlue"/>
        </w:rPr>
        <w:t xml:space="preserve">⟨ū⟩</w:t>
      </w:r>
      <w:r>
        <w:t xml:space="preserve">la</w:t>
      </w:r>
      <w:r>
        <w:rPr>
          <w:b/>
          <w:bCs/>
        </w:rPr>
        <w:t xml:space="preserve">s</w:t>
      </w:r>
      <w:r>
        <w:rPr>
          <w:rStyle w:val="ColorMagenta"/>
          <w:b/>
          <w:bCs/>
        </w:rPr>
        <w:t xml:space="preserve">¡t!</w:t>
      </w:r>
      <w:r>
        <w:rPr>
          <w:rStyle w:val="ColorBlue"/>
          <w:b/>
          <w:bCs/>
        </w:rPr>
        <w:t xml:space="preserve">⟨th⟩</w:t>
      </w:r>
      <w:r>
        <w:rPr>
          <w:b/>
          <w:bCs/>
        </w:rPr>
        <w:t xml:space="preserve">ā</w:t>
      </w:r>
      <w:r>
        <w:t xml:space="preserve">ṉattu-p</w:t>
      </w:r>
      <w:r>
        <w:t xml:space="preserve"> </w:t>
      </w:r>
      <w:r>
        <w:rPr>
          <w:b/>
          <w:bCs/>
        </w:rPr>
        <w:t xml:space="preserve">m</w:t>
      </w:r>
      <w:r>
        <w:rPr>
          <w:rStyle w:val="ColorRed"/>
          <w:b/>
          <w:bCs/>
        </w:rPr>
        <w:t xml:space="preserve">¿ā?</w:t>
      </w:r>
      <w:r>
        <w:rPr>
          <w:rStyle w:val="ColorGreen"/>
          <w:b/>
          <w:bCs/>
        </w:rPr>
        <w:t xml:space="preserve">⟨a⟩</w:t>
      </w:r>
      <w:r>
        <w:rPr>
          <w:b/>
          <w:bCs/>
        </w:rPr>
        <w:t xml:space="preserve">hāde</w:t>
      </w:r>
      <w:r>
        <w:t xml:space="preserve">vark</w:t>
      </w:r>
      <w:r>
        <w:rPr>
          <w:rStyle w:val="ColorGray"/>
        </w:rPr>
        <w:t xml:space="preserve">⟨3⟩</w:t>
      </w:r>
      <w:r>
        <w:t xml:space="preserve">ku ka(rai) Uṭaiyāṉ kaliyaṉ maṉṟāṭi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Aiyya</w:t>
      </w:r>
      <w:r>
        <w:rPr>
          <w:rStyle w:val="ColorMagenta"/>
        </w:rPr>
        <w:t xml:space="preserve">¡ṉṉ!</w:t>
      </w:r>
      <w:r>
        <w:rPr>
          <w:rStyle w:val="ColorBlue"/>
        </w:rPr>
        <w:t xml:space="preserve">⟨ṉ⟩</w:t>
      </w:r>
      <w:r>
        <w:t xml:space="preserve">-ākiya Irā</w:t>
      </w:r>
      <w:r>
        <w:rPr>
          <w:b/>
          <w:bCs/>
        </w:rPr>
        <w:t xml:space="preserve">jā</w:t>
      </w:r>
      <w:r>
        <w:t xml:space="preserve">ti⟨t⟩ta-p-pēr-araiya</w:t>
      </w:r>
      <w:r>
        <w:rPr>
          <w:rStyle w:val="ColorGray"/>
        </w:rPr>
        <w:t xml:space="preserve">⟨5⟩</w:t>
      </w:r>
      <w:r>
        <w:t xml:space="preserve">ṉ tiru-Uṇṇāḷikaiyil muṉpil ma</w:t>
      </w:r>
      <w:r>
        <w:rPr>
          <w:rStyle w:val="ColorGray"/>
        </w:rPr>
        <w:t xml:space="preserve">⟨6⟩</w:t>
      </w:r>
      <w:r>
        <w:t xml:space="preserve">ṇṭapattil mēlkk’ aṭain=ta Oḻukil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tūṇ Iraṇṭum Araikkāl Iraṇṭu⟨m⟩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Uttiramum Ivv-oḻukukku vēṇṭuva</w:t>
      </w:r>
      <w:r>
        <w:rPr>
          <w:rStyle w:val="ColorGray"/>
        </w:rPr>
        <w:t xml:space="preserve">⟨9⟩</w:t>
      </w:r>
      <w:r>
        <w:t xml:space="preserve">ṉa ellāñ ce⟨y⟩tu vaittāṉ</w:t>
      </w:r>
    </w:p>
    <w:p>
      <w:pPr>
        <w:pStyle w:val="BodyText"/>
      </w:pPr>
      <w:r>
        <w:t xml:space="preserve">Itu cantirāti⟨t⟩taval ↝</w:t>
      </w:r>
    </w:p>
    <w:p>
      <w:pPr>
        <w:pStyle w:val="Heading1"/>
      </w:pPr>
      <w:r>
        <w:t xml:space="preserve">Translation by Kuppusamy &amp; Vijayavenugopal 2010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24th year ⟨of the reign⟩ of śrī-Kaṉṉara-tēvar.</w:t>
      </w:r>
    </w:p>
    <w:p>
      <w:pPr>
        <w:pStyle w:val="BodyText"/>
      </w:pPr>
      <w:r>
        <w:rPr>
          <w:rStyle w:val="ColorGray"/>
        </w:rPr>
        <w:t xml:space="preserve">⟨1–9⟩</w:t>
      </w:r>
      <w:r>
        <w:t xml:space="preserve"> </w:t>
      </w:r>
      <w:r>
        <w:t xml:space="preserve">Kaliyaṉ Maṉṟāṭi Aiyaṉ alias Irājātittappēraraiyaṉ, an official of Karai</w:t>
      </w:r>
      <w:r>
        <w:rPr>
          <w:rStyle w:val="FootnoteReference"/>
        </w:rPr>
        <w:footnoteReference w:id="9"/>
      </w:r>
      <w:r>
        <w:t xml:space="preserve"> </w:t>
      </w:r>
      <w:r>
        <w:t xml:space="preserve">has provided for making two pillars, two half pillars and a beam and did all that are necessary for this row in the western side of the hall, in front of the sanctum sanctorum, for the great Lord of śrī-Mūlastāṉam of Vākūr.</w:t>
      </w:r>
    </w:p>
    <w:p>
      <w:pPr>
        <w:pStyle w:val="BodyText"/>
      </w:pPr>
      <w:r>
        <w:rPr>
          <w:rStyle w:val="ColorGray"/>
        </w:rPr>
        <w:t xml:space="preserve">⟨10⟩</w:t>
      </w:r>
      <w:r>
        <w:t xml:space="preserve"> </w:t>
      </w:r>
      <w:r>
        <w:t xml:space="preserve">This is to last as long as the moon and the sun will last.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Not reported in ARIE.</w:t>
      </w:r>
    </w:p>
    <w:p>
      <w:pPr>
        <w:pStyle w:val="BodyText"/>
      </w:pPr>
      <w:r>
        <w:t xml:space="preserve">Edited in Kuppusamy &amp; Vijayavenugopal 2006 (PI 6) and translated in Kuppusamy &amp; Vijayavenugopal 2010 (PI 6).</w:t>
      </w:r>
    </w:p>
    <w:p>
      <w:pPr>
        <w:pStyle w:val="BodyText"/>
      </w:pPr>
      <w:r>
        <w:t xml:space="preserve">This digital edition by Emmanuel Francis, based on Kuppusamy &amp; Vijayavenugopal 2006. This translation adapted from Kuppusamy &amp; Vijayavenugopal 2010.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2006.</w:t>
      </w:r>
      <w:r>
        <w:t xml:space="preserve"> </w:t>
      </w:r>
      <w:r>
        <w:rPr>
          <w:i/>
          <w:iCs/>
        </w:rPr>
        <w:t xml:space="preserve">Pondicherry inscriptions. Part I: Introduction and texts with notes = Putuccēri mānilak kalveṭṭukkaḷ</w:t>
      </w:r>
      <w:r>
        <w:t xml:space="preserve">. Pondichéry: Ecole française d’Extrême-Orient; Institut français de Pondichéry. Pages 4–5, item 6.</w:t>
      </w:r>
    </w:p>
    <w:p>
      <w:pPr>
        <w:pStyle w:val="BodyText"/>
      </w:pPr>
      <w:r>
        <w:rPr>
          <w:b/>
          <w:bCs/>
        </w:rPr>
        <w:t xml:space="preserve">[PI]</w:t>
      </w:r>
      <w:r>
        <w:t xml:space="preserve"> </w:t>
      </w:r>
      <w:r>
        <w:t xml:space="preserve">Kuppusamy, Bahour S. &amp; G. Vijayavenugopal. 2010.</w:t>
      </w:r>
      <w:r>
        <w:t xml:space="preserve"> </w:t>
      </w:r>
      <w:r>
        <w:rPr>
          <w:i/>
          <w:iCs/>
        </w:rPr>
        <w:t xml:space="preserve">Pondicherry inscriptions. Part II: Translation, appendices, glossary and phrases, [and] preface = Putuccēri mānilak kalveṭṭukkaḷ</w:t>
      </w:r>
      <w:r>
        <w:t xml:space="preserve">. Pondichéry: Ecole française d’Extrême-Orient; Institut français de Pondichéry. Page 2, item 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village.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Pākūr / Vākūr / Bahur, Tirumūlanātar temple, time of Kaṉṉaradeva, year 22</dc:title>
  <dc:creator>Emmanuel Francis</dc:creator>
  <cp:keywords/>
  <dcterms:created xsi:type="dcterms:W3CDTF">2026-11-06T00:11:25Z</dcterms:created>
  <dcterms:modified xsi:type="dcterms:W3CDTF">2026-11-06T00:11:25Z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