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Pākūr / Vākūr / Bahur, Tirumūlanātar temple, time of Kaṉṉaradeva, year 24</w:t>
      </w:r>
    </w:p>
    <w:p>
      <w:pPr>
        <w:pStyle w:val="Author"/>
      </w:pPr>
      <w:r>
        <w:t xml:space="preserve">Emmanuel Francis</w:t>
      </w:r>
    </w:p>
    <w:p>
      <w:pPr>
        <w:pStyle w:val="FirstParagraph"/>
      </w:pPr>
      <w:r>
        <w:t xml:space="preserve">Author of digital edition: Emmanuel Francis</w:t>
      </w:r>
    </w:p>
    <w:p>
      <w:pPr>
        <w:pStyle w:val="BodyText"/>
      </w:pPr>
      <w:r>
        <w:t xml:space="preserve">Identifier: DHARMA_INSPondicherry00005</w:t>
      </w:r>
    </w:p>
    <w:p>
      <w:pPr>
        <w:pStyle w:val="BodyText"/>
      </w:pPr>
      <w:r>
        <w:t xml:space="preserve">Repository: Pondicherry (tfa-pondicherry-epigraphy)</w:t>
      </w:r>
    </w:p>
    <w:p>
      <w:pPr>
        <w:pStyle w:val="BodyText"/>
      </w:pPr>
      <w:r>
        <w:t xml:space="preserve">File path: DHARMA_INSPondicherry00005.xml</w:t>
      </w:r>
    </w:p>
    <w:p>
      <w:pPr>
        <w:pStyle w:val="BodyText"/>
      </w:pPr>
      <w:r>
        <w:t xml:space="preserve">Language: Tamil [Grantha, Tamil]</w:t>
      </w:r>
    </w:p>
    <w:p>
      <w:pPr>
        <w:pStyle w:val="BodyText"/>
      </w:pPr>
      <w:r>
        <w:t xml:space="preserve">Commit: 2026-11-04 20:32 (e2dd903), last modified 2026-11-04 20:32 (e2dd903)</w:t>
      </w:r>
    </w:p>
    <w:p>
      <w:pPr>
        <w:pStyle w:val="Heading1"/>
      </w:pPr>
      <w:r>
        <w:t xml:space="preserve">Summary</w:t>
      </w:r>
    </w:p>
    <w:p>
      <w:pPr>
        <w:pStyle w:val="FirstParagraph"/>
      </w:pPr>
      <w:r>
        <w:rPr>
          <w:i/>
          <w:iCs/>
        </w:rPr>
        <w:t xml:space="preserve">Ardhamaṇḍapa</w:t>
      </w:r>
      <w:r>
        <w:t xml:space="preserve">, east wall. Kaṉṉaradeva = Kṛṣṇa III Rāṣṭrakūṭa, RY 24 = 963 CE.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rPr>
          <w:b/>
          <w:bCs/>
        </w:rPr>
        <w:t xml:space="preserve">śvasti</w:t>
      </w:r>
    </w:p>
    <w:p>
      <w:pPr>
        <w:pStyle w:val="BodyText"/>
      </w:pPr>
      <w:r>
        <w:rPr>
          <w:b/>
          <w:bCs/>
        </w:rPr>
        <w:t xml:space="preserve">śrī</w:t>
      </w:r>
      <w:r>
        <w:t xml:space="preserve">-kaṉṉara-tēva⟨r⟩kku yā</w:t>
      </w:r>
      <w:r>
        <w:rPr>
          <w:rStyle w:val="ColorGray"/>
        </w:rPr>
        <w:t xml:space="preserve">⟨2⟩</w:t>
      </w:r>
      <w:r>
        <w:t xml:space="preserve">ṇṭu 2 10 4-vatu</w:t>
      </w:r>
    </w:p>
    <w:p>
      <w:pPr>
        <w:pStyle w:val="BodyText"/>
      </w:pPr>
      <w:r>
        <w:t xml:space="preserve">vākūr</w:t>
      </w:r>
      <w:r>
        <w:t xml:space="preserve"> </w:t>
      </w:r>
      <w:r>
        <w:rPr>
          <w:rStyle w:val="ColorMagenta"/>
          <w:b/>
          <w:bCs/>
        </w:rPr>
        <w:t xml:space="preserve">¡śi!</w:t>
      </w:r>
      <w:r>
        <w:rPr>
          <w:rStyle w:val="ColorBlue"/>
          <w:b/>
          <w:bCs/>
        </w:rPr>
        <w:t xml:space="preserve">⟨śrī⟩</w:t>
      </w:r>
      <w:r>
        <w:t xml:space="preserve">-m</w:t>
      </w:r>
      <w:r>
        <w:rPr>
          <w:rStyle w:val="ColorMagenta"/>
        </w:rPr>
        <w:t xml:space="preserve">¡u!</w:t>
      </w:r>
      <w:r>
        <w:rPr>
          <w:rStyle w:val="ColorBlue"/>
        </w:rPr>
        <w:t xml:space="preserve">⟨ū⟩</w:t>
      </w:r>
      <w:r>
        <w:t xml:space="preserve">la</w:t>
      </w:r>
      <w:r>
        <w:rPr>
          <w:b/>
          <w:bCs/>
        </w:rPr>
        <w:t xml:space="preserve">s</w:t>
      </w:r>
      <w:r>
        <w:rPr>
          <w:rStyle w:val="ColorMagenta"/>
          <w:b/>
          <w:bCs/>
        </w:rPr>
        <w:t xml:space="preserve">¡t!</w:t>
      </w:r>
      <w:r>
        <w:rPr>
          <w:rStyle w:val="ColorBlue"/>
          <w:b/>
          <w:bCs/>
        </w:rPr>
        <w:t xml:space="preserve">⟨th⟩</w:t>
      </w:r>
      <w:r>
        <w:rPr>
          <w:b/>
          <w:bCs/>
        </w:rPr>
        <w:t xml:space="preserve">ā</w:t>
      </w:r>
      <w:r>
        <w:t xml:space="preserve">ṉa</w:t>
      </w:r>
      <w:r>
        <w:rPr>
          <w:rStyle w:val="ColorGray"/>
        </w:rPr>
        <w:t xml:space="preserve">⟨3⟩</w:t>
      </w:r>
      <w:r>
        <w:t xml:space="preserve">ttu-p</w:t>
      </w:r>
      <w:r>
        <w:t xml:space="preserve"> </w:t>
      </w:r>
      <w:r>
        <w:rPr>
          <w:b/>
          <w:bCs/>
        </w:rPr>
        <w:t xml:space="preserve">mahāde</w:t>
      </w:r>
      <w:r>
        <w:t xml:space="preserve">varkku tiruvā⟨y⟩ppāṭi Iru</w:t>
      </w:r>
      <w:r>
        <w:rPr>
          <w:rStyle w:val="ColorGray"/>
        </w:rPr>
        <w:t xml:space="preserve">⟨4⟩</w:t>
      </w:r>
      <w:r>
        <w:t xml:space="preserve">kku⟨m⟩ maṉṟāṭi kōṉūr nakkaṉ vaitta na</w:t>
      </w:r>
      <w:r>
        <w:rPr>
          <w:rStyle w:val="ColorGray"/>
        </w:rPr>
        <w:t xml:space="preserve">⟨5⟩</w:t>
      </w:r>
      <w:r>
        <w:t xml:space="preserve">ntā-viḷakku Arai{vi}kku vaitta Āṭu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⟨6⟩</w:t>
      </w:r>
      <w:r>
        <w:rPr>
          <w:rStyle w:val="ColorGray"/>
        </w:rPr>
        <w:t xml:space="preserve"> </w:t>
      </w:r>
      <w:r>
        <w:t xml:space="preserve">nā</w:t>
      </w:r>
      <w:r>
        <w:rPr>
          <w:rStyle w:val="ColorRed"/>
        </w:rPr>
        <w:t xml:space="preserve">¿p?</w:t>
      </w:r>
      <w:r>
        <w:rPr>
          <w:rStyle w:val="ColorGreen"/>
        </w:rPr>
        <w:t xml:space="preserve">⟨ṟ⟩</w:t>
      </w:r>
      <w:r>
        <w:t xml:space="preserve">-patt’ āṟu</w:t>
      </w:r>
    </w:p>
    <w:p>
      <w:pPr>
        <w:pStyle w:val="BodyText"/>
      </w:pPr>
      <w:r>
        <w:t xml:space="preserve">Ivai ca</w:t>
      </w:r>
      <w:r>
        <w:rPr>
          <w:b/>
          <w:bCs/>
        </w:rPr>
        <w:t xml:space="preserve">n</w:t>
      </w:r>
      <w:r>
        <w:rPr>
          <w:rStyle w:val="ColorMagenta"/>
          <w:b/>
          <w:bCs/>
        </w:rPr>
        <w:t xml:space="preserve">¡t!</w:t>
      </w:r>
      <w:r>
        <w:rPr>
          <w:rStyle w:val="ColorBlue"/>
          <w:b/>
          <w:bCs/>
        </w:rPr>
        <w:t xml:space="preserve">⟨d⟩</w:t>
      </w:r>
      <w:r>
        <w:rPr>
          <w:b/>
          <w:bCs/>
        </w:rPr>
        <w:t xml:space="preserve">ra</w:t>
      </w:r>
      <w:r>
        <w:t xml:space="preserve">ti⟨t⟩taval</w:t>
      </w:r>
    </w:p>
    <w:p>
      <w:pPr>
        <w:pStyle w:val="Heading1"/>
      </w:pPr>
      <w:r>
        <w:t xml:space="preserve">Translation by Kuppusamy &amp; Vijayavenugopal 2010</w:t>
      </w:r>
    </w:p>
    <w:p>
      <w:pPr>
        <w:pStyle w:val="FirstParagraph"/>
      </w:pPr>
      <w:r>
        <w:rPr>
          <w:rStyle w:val="ColorGray"/>
        </w:rPr>
        <w:t xml:space="preserve">⟨1⟩</w:t>
      </w:r>
      <w:r>
        <w:t xml:space="preserve"> </w:t>
      </w:r>
      <w:r>
        <w:t xml:space="preserve">Hail!</w:t>
      </w:r>
    </w:p>
    <w:p>
      <w:pPr>
        <w:pStyle w:val="BodyText"/>
      </w:pPr>
      <w:r>
        <w:rPr>
          <w:rStyle w:val="ColorGray"/>
        </w:rPr>
        <w:t xml:space="preserve">⟨1–2⟩</w:t>
      </w:r>
      <w:r>
        <w:t xml:space="preserve"> </w:t>
      </w:r>
      <w:r>
        <w:t xml:space="preserve">24th year of śrī-Kaṉṉara-tēvar.</w:t>
      </w:r>
    </w:p>
    <w:p>
      <w:pPr>
        <w:pStyle w:val="BodyText"/>
      </w:pPr>
      <w:r>
        <w:rPr>
          <w:rStyle w:val="ColorGray"/>
        </w:rPr>
        <w:t xml:space="preserve">⟨3–6⟩</w:t>
      </w:r>
      <w:r>
        <w:t xml:space="preserve"> </w:t>
      </w:r>
      <w:r>
        <w:t xml:space="preserve">For the half perpetual lamp for the great Lord of śrī-Mūlastāṉam of Vākūr, donated by Nakkaṉ of Kōṉūr, a shepherd, who lives in Tiruvāy-p-pāṭi, the sheep endowed (for this) are fourty-six.</w:t>
      </w:r>
    </w:p>
    <w:p>
      <w:pPr>
        <w:pStyle w:val="BodyText"/>
      </w:pPr>
      <w:r>
        <w:rPr>
          <w:rStyle w:val="ColorGray"/>
        </w:rPr>
        <w:t xml:space="preserve">⟨6⟩</w:t>
      </w:r>
      <w:r>
        <w:t xml:space="preserve"> </w:t>
      </w:r>
      <w:r>
        <w:t xml:space="preserve">This is to last till the moon and the sun will last.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Not reported in ARIE.</w:t>
      </w:r>
    </w:p>
    <w:p>
      <w:pPr>
        <w:pStyle w:val="BodyText"/>
      </w:pPr>
      <w:r>
        <w:t xml:space="preserve">Edited in Kuppusamy &amp; Vijayavenugopal 2006 (PI 5) and translated in Kuppusamy &amp; Vijayavenugopal 2010 (PI 5).</w:t>
      </w:r>
    </w:p>
    <w:p>
      <w:pPr>
        <w:pStyle w:val="BodyText"/>
      </w:pPr>
      <w:r>
        <w:t xml:space="preserve">This digital edition by Emmanuel Francis, based on Kuppusamy &amp; Vijayavenugopal 2006. This translation adapted from Kuppusamy &amp; Vijayavenugopal 2010.</w:t>
      </w:r>
    </w:p>
    <w:p>
      <w:pPr>
        <w:pStyle w:val="Heading2"/>
      </w:pPr>
      <w:r>
        <w:t xml:space="preserve">Primary</w:t>
      </w:r>
    </w:p>
    <w:p>
      <w:pPr>
        <w:pStyle w:val="FirstParagraph"/>
      </w:pPr>
      <w:r>
        <w:rPr>
          <w:b/>
          <w:bCs/>
        </w:rPr>
        <w:t xml:space="preserve">[PI]</w:t>
      </w:r>
      <w:r>
        <w:t xml:space="preserve"> </w:t>
      </w:r>
      <w:r>
        <w:t xml:space="preserve">Kuppusamy, Bahour S. &amp; G. Vijayavenugopal. 2006.</w:t>
      </w:r>
      <w:r>
        <w:t xml:space="preserve"> </w:t>
      </w:r>
      <w:r>
        <w:rPr>
          <w:i/>
          <w:iCs/>
        </w:rPr>
        <w:t xml:space="preserve">Pondicherry inscriptions. Part I: Introduction and texts with notes = Putuccēri mānilak kalveṭṭukkaḷ</w:t>
      </w:r>
      <w:r>
        <w:t xml:space="preserve">. Pondichéry: Ecole française d’Extrême-Orient; Institut français de Pondichéry. Page 4, item 5.</w:t>
      </w:r>
    </w:p>
    <w:p>
      <w:pPr>
        <w:pStyle w:val="BodyText"/>
      </w:pPr>
      <w:r>
        <w:rPr>
          <w:b/>
          <w:bCs/>
        </w:rPr>
        <w:t xml:space="preserve">[PI]</w:t>
      </w:r>
      <w:r>
        <w:t xml:space="preserve"> </w:t>
      </w:r>
      <w:r>
        <w:t xml:space="preserve">Kuppusamy, Bahour S. &amp; G. Vijayavenugopal. 2010.</w:t>
      </w:r>
      <w:r>
        <w:t xml:space="preserve"> </w:t>
      </w:r>
      <w:r>
        <w:rPr>
          <w:i/>
          <w:iCs/>
        </w:rPr>
        <w:t xml:space="preserve">Pondicherry inscriptions. Part II: Translation, appendices, glossary and phrases, [and] preface = Putuccēri mānilak kalveṭṭukkaḷ</w:t>
      </w:r>
      <w:r>
        <w:t xml:space="preserve">. Pondichéry: Ecole française d’Extrême-Orient; Institut français de Pondichéry. Page 2, item 5.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Pākūr / Vākūr / Bahur, Tirumūlanātar temple, time of Kaṉṉaradeva, year 24</dc:title>
  <dc:creator>Emmanuel Francis</dc:creator>
  <cp:keywords/>
  <dcterms:created xsi:type="dcterms:W3CDTF">2026-11-06T00:09:49Z</dcterms:created>
  <dcterms:modified xsi:type="dcterms:W3CDTF">2026-11-06T00:09:49Z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