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Pākūr / Vākūr / Bahur, Tirumūlanātar temple, time of Kaṉṉaradeva, year 22</w:t>
      </w:r>
    </w:p>
    <w:p>
      <w:pPr>
        <w:pStyle w:val="Author"/>
      </w:pPr>
      <w:r>
        <w:t xml:space="preserve">Emmanuel Francis</w:t>
      </w:r>
    </w:p>
    <w:p>
      <w:pPr>
        <w:pStyle w:val="FirstParagraph"/>
      </w:pPr>
      <w:r>
        <w:t xml:space="preserve">Author of digital edition: Emmanuel Francis</w:t>
      </w:r>
    </w:p>
    <w:p>
      <w:pPr>
        <w:pStyle w:val="BodyText"/>
      </w:pPr>
      <w:r>
        <w:t xml:space="preserve">Identifier: DHARMA_INSPondicherry00004</w:t>
      </w:r>
    </w:p>
    <w:p>
      <w:pPr>
        <w:pStyle w:val="BodyText"/>
      </w:pPr>
      <w:r>
        <w:t xml:space="preserve">Repository: Pondicherry (tfa-pondicherry-epigraphy)</w:t>
      </w:r>
    </w:p>
    <w:p>
      <w:pPr>
        <w:pStyle w:val="BodyText"/>
      </w:pPr>
      <w:r>
        <w:t xml:space="preserve">File path: DHARMA_INSPondicherry00004.xml</w:t>
      </w:r>
    </w:p>
    <w:p>
      <w:pPr>
        <w:pStyle w:val="BodyText"/>
      </w:pPr>
      <w:r>
        <w:t xml:space="preserve">Language: Tamil [Grantha, Tamil]</w:t>
      </w:r>
    </w:p>
    <w:p>
      <w:pPr>
        <w:pStyle w:val="BodyText"/>
      </w:pPr>
      <w:r>
        <w:t xml:space="preserve">Commit: 2026-11-04 20:32 (e2dd903), last modified 2026-11-04 20:32 (6693453)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t xml:space="preserve">Central shrine, south wall. Kaṉṉaradeva = Kṛṣṇa III Rāṣṭrakūṭa, RY 22 = 961 CE.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rPr>
          <w:b/>
          <w:bCs/>
        </w:rPr>
        <w:t xml:space="preserve">śvasti śrī</w:t>
      </w:r>
    </w:p>
    <w:p>
      <w:pPr>
        <w:pStyle w:val="BodyText"/>
      </w:pPr>
      <w:r>
        <w:t xml:space="preserve">kaṉṉara-(tēvarkku yāṇ)</w:t>
      </w:r>
      <w:r>
        <w:rPr>
          <w:rStyle w:val="ColorGray"/>
        </w:rPr>
        <w:t xml:space="preserve">⟨2⟩</w:t>
      </w:r>
      <w:r>
        <w:t xml:space="preserve">ṭu 2 10 2</w:t>
      </w:r>
    </w:p>
    <w:p>
      <w:pPr>
        <w:pStyle w:val="BodyText"/>
      </w:pPr>
      <w:r>
        <w:t xml:space="preserve">vēcāli-p-pāṭi vaṭa-karai vākūr-nā</w:t>
      </w:r>
      <w:r>
        <w:rPr>
          <w:rStyle w:val="ColorGray"/>
        </w:rPr>
        <w:t xml:space="preserve">⟨3⟩</w:t>
      </w:r>
      <w:r>
        <w:t xml:space="preserve">ṭṭu maṉṟāṭikaḷē vākū⟨r⟩</w:t>
      </w:r>
      <w:r>
        <w:t xml:space="preserve"> </w:t>
      </w:r>
      <w:r>
        <w:rPr>
          <w:rStyle w:val="ColorMagenta"/>
          <w:b/>
          <w:bCs/>
        </w:rPr>
        <w:t xml:space="preserve">¡śi!</w:t>
      </w:r>
      <w:r>
        <w:rPr>
          <w:rStyle w:val="ColorBlue"/>
          <w:b/>
          <w:bCs/>
        </w:rPr>
        <w:t xml:space="preserve">⟨śrī⟩</w:t>
      </w:r>
      <w:r>
        <w:t xml:space="preserve">-m</w:t>
      </w:r>
      <w:r>
        <w:rPr>
          <w:rStyle w:val="ColorMagenta"/>
        </w:rPr>
        <w:t xml:space="preserve">¡u!</w:t>
      </w:r>
      <w:r>
        <w:rPr>
          <w:rStyle w:val="ColorBlue"/>
        </w:rPr>
        <w:t xml:space="preserve">⟨ū⟩</w:t>
      </w:r>
      <w:r>
        <w:t xml:space="preserve">laṭ(ṭā)ṉattu</w:t>
      </w:r>
      <w:r>
        <w:rPr>
          <w:rStyle w:val="ColorGray"/>
        </w:rPr>
        <w:t xml:space="preserve">⟨4⟩</w:t>
      </w:r>
      <w:r>
        <w:t xml:space="preserve">-p perumāḷukku nāṅkaḷ v</w:t>
      </w:r>
      <w:r>
        <w:rPr>
          <w:rStyle w:val="ColorMagenta"/>
        </w:rPr>
        <w:t xml:space="preserve">¡aiy!</w:t>
      </w:r>
      <w:r>
        <w:rPr>
          <w:rStyle w:val="ColorBlue"/>
        </w:rPr>
        <w:t xml:space="preserve">⟨ai⟩</w:t>
      </w:r>
      <w:r>
        <w:t xml:space="preserve">tta</w:t>
      </w:r>
      <w:r>
        <w:t xml:space="preserve"> </w:t>
      </w:r>
      <w:r>
        <w:rPr>
          <w:b/>
          <w:bCs/>
        </w:rPr>
        <w:t xml:space="preserve">dha</w:t>
      </w:r>
      <w:r>
        <w:rPr>
          <w:rStyle w:val="ColorRed"/>
          <w:b/>
          <w:bCs/>
        </w:rPr>
        <w:t xml:space="preserve">¿t?</w:t>
      </w:r>
      <w:r>
        <w:rPr>
          <w:rStyle w:val="ColorGreen"/>
          <w:b/>
          <w:bCs/>
        </w:rPr>
        <w:t xml:space="preserve">⟨n⟩</w:t>
      </w:r>
      <w:r>
        <w:rPr>
          <w:b/>
          <w:bCs/>
        </w:rPr>
        <w:t xml:space="preserve">ma</w:t>
      </w:r>
      <w:r>
        <w:rPr>
          <w:rStyle w:val="ColorGray"/>
        </w:rPr>
        <w:t xml:space="preserve">⟨5⟩</w:t>
      </w:r>
      <w:r>
        <w:t xml:space="preserve">ṅ</w:t>
      </w:r>
    </w:p>
    <w:p>
      <w:pPr>
        <w:pStyle w:val="BodyText"/>
      </w:pPr>
      <w:r>
        <w:t xml:space="preserve">kaṭṭil ēṟappōm pōtu Oru Āṭu ku</w:t>
      </w:r>
      <w:r>
        <w:rPr>
          <w:rStyle w:val="ColorGray"/>
        </w:rPr>
        <w:t xml:space="preserve">⟨6⟩</w:t>
      </w:r>
      <w:r>
        <w:t xml:space="preserve">ṭuttu-k kaṭṭil ēṟuvōm ākavu⟨m⟩</w:t>
      </w:r>
    </w:p>
    <w:p>
      <w:pPr>
        <w:pStyle w:val="BodyText"/>
      </w:pPr>
      <w:r>
        <w:t xml:space="preserve">(puṟa)nā</w:t>
      </w:r>
      <w:r>
        <w:rPr>
          <w:rStyle w:val="ColorGray"/>
        </w:rPr>
        <w:t xml:space="preserve">⟨7⟩</w:t>
      </w:r>
      <w:r>
        <w:t xml:space="preserve">ṭṭi niṉṟu vantu I</w:t>
      </w:r>
      <w:r>
        <w:rPr>
          <w:rStyle w:val="ColorMagenta"/>
        </w:rPr>
        <w:t xml:space="preserve">¡ñ-ñ!</w:t>
      </w:r>
      <w:r>
        <w:rPr>
          <w:rStyle w:val="ColorBlue"/>
        </w:rPr>
        <w:t xml:space="preserve">⟨n-n⟩</w:t>
      </w:r>
      <w:r>
        <w:t xml:space="preserve">āṭṭiṟ kaṭṭi</w:t>
      </w:r>
      <w:r>
        <w:rPr>
          <w:rStyle w:val="ColorGray"/>
        </w:rPr>
        <w:t xml:space="preserve">⟨8⟩</w:t>
      </w:r>
      <w:r>
        <w:t xml:space="preserve">l ēṟu maṉṟāṭi vacam oru Āṭu kuṭuppa</w:t>
      </w:r>
      <w:r>
        <w:rPr>
          <w:rStyle w:val="ColorGray"/>
        </w:rPr>
        <w:t xml:space="preserve">⟨9⟩</w:t>
      </w:r>
      <w:r>
        <w:t xml:space="preserve">t’ ākavuṅ</w:t>
      </w:r>
    </w:p>
    <w:p>
      <w:pPr>
        <w:pStyle w:val="BodyText"/>
      </w:pPr>
      <w:r>
        <w:t xml:space="preserve">kuṭātu tiṟampi(ṉō)mai-k ka</w:t>
      </w:r>
      <w:r>
        <w:rPr>
          <w:rStyle w:val="ColorGray"/>
        </w:rPr>
        <w:t xml:space="preserve">⟨10⟩</w:t>
      </w:r>
      <w:r>
        <w:t xml:space="preserve">ṇa-p-peru-makkaḷun tēvar-aṭiyārum ira</w:t>
      </w:r>
      <w:r>
        <w:rPr>
          <w:rStyle w:val="ColorGray"/>
        </w:rPr>
        <w:t xml:space="preserve">⟨11⟩</w:t>
      </w:r>
      <w:r>
        <w:t xml:space="preserve">ṇṭ’ āṭu piṭittu-k koḷḷa-p-peṟu</w:t>
      </w:r>
      <w:r>
        <w:rPr>
          <w:rStyle w:val="ColorGray"/>
        </w:rPr>
        <w:t xml:space="preserve">⟨12⟩</w:t>
      </w:r>
      <w:r>
        <w:t xml:space="preserve">vat’ ākavum</w:t>
      </w:r>
    </w:p>
    <w:p>
      <w:pPr>
        <w:pStyle w:val="BodyText"/>
      </w:pPr>
      <w:r>
        <w:t xml:space="preserve">Oṭṭi-k kuṭuttōm i</w:t>
      </w:r>
      <w:r>
        <w:rPr>
          <w:rStyle w:val="ColorMagenta"/>
        </w:rPr>
        <w:t xml:space="preserve">¡ñ-ñ!</w:t>
      </w:r>
      <w:r>
        <w:rPr>
          <w:rStyle w:val="ColorBlue"/>
        </w:rPr>
        <w:t xml:space="preserve">⟨n-n⟩</w:t>
      </w:r>
      <w:r>
        <w:t xml:space="preserve">ā(ṭ)</w:t>
      </w:r>
      <w:r>
        <w:rPr>
          <w:rStyle w:val="ColorGray"/>
        </w:rPr>
        <w:t xml:space="preserve">⟨13⟩</w:t>
      </w:r>
      <w:r>
        <w:t xml:space="preserve">(ṭu) maṉṟāṭika</w:t>
      </w:r>
      <w:r>
        <w:rPr>
          <w:rStyle w:val="ColorMagenta"/>
        </w:rPr>
        <w:t xml:space="preserve">¡ḷḷ!</w:t>
      </w:r>
      <w:r>
        <w:rPr>
          <w:rStyle w:val="ColorBlue"/>
        </w:rPr>
        <w:t xml:space="preserve">⟨ḷ⟩</w:t>
      </w:r>
      <w:r>
        <w:t xml:space="preserve">ōm</w:t>
      </w:r>
    </w:p>
    <w:p>
      <w:pPr>
        <w:pStyle w:val="BodyText"/>
      </w:pPr>
      <w:r>
        <w:t xml:space="preserve">It-</w:t>
      </w:r>
      <w:r>
        <w:rPr>
          <w:b/>
          <w:bCs/>
        </w:rPr>
        <w:t xml:space="preserve">dha⟨r⟩mma</w:t>
      </w:r>
      <w:r>
        <w:t xml:space="preserve">m</w:t>
      </w:r>
      <w:r>
        <w:t xml:space="preserve"> </w:t>
      </w:r>
      <w:r>
        <w:rPr>
          <w:rStyle w:val="ColorMagenta"/>
          <w:b/>
          <w:bCs/>
        </w:rPr>
        <w:t xml:space="preserve">¡ś!</w:t>
      </w:r>
      <w:r>
        <w:rPr>
          <w:rStyle w:val="ColorBlue"/>
          <w:b/>
          <w:bCs/>
        </w:rPr>
        <w:t xml:space="preserve">⟨c⟩</w:t>
      </w:r>
      <w:r>
        <w:rPr>
          <w:b/>
          <w:bCs/>
        </w:rPr>
        <w:t xml:space="preserve">a</w:t>
      </w:r>
      <w:r>
        <w:rPr>
          <w:rStyle w:val="ColorGray"/>
        </w:rPr>
        <w:t xml:space="preserve">⟨14⟩</w:t>
      </w:r>
      <w:r>
        <w:rPr>
          <w:b/>
          <w:bCs/>
        </w:rPr>
        <w:t xml:space="preserve">ndrā</w:t>
      </w:r>
      <w:r>
        <w:t xml:space="preserve">tit=tavat niṟpat’ āka niṟutti-k kuṭu</w:t>
      </w:r>
      <w:r>
        <w:rPr>
          <w:rStyle w:val="ColorGray"/>
        </w:rPr>
        <w:t xml:space="preserve">⟨15⟩</w:t>
      </w:r>
      <w:r>
        <w:t xml:space="preserve">ppōm āṉō(m i)</w:t>
      </w:r>
      <w:r>
        <w:rPr>
          <w:rStyle w:val="ColorMagenta"/>
        </w:rPr>
        <w:t xml:space="preserve">¡ñ-ñ!</w:t>
      </w:r>
      <w:r>
        <w:rPr>
          <w:rStyle w:val="ColorBlue"/>
        </w:rPr>
        <w:t xml:space="preserve">⟨n-n⟩</w:t>
      </w:r>
      <w:r>
        <w:t xml:space="preserve">ā(ṭu) mataku ceykiṉ</w:t>
      </w:r>
      <w:r>
        <w:rPr>
          <w:rStyle w:val="ColorGray"/>
        </w:rPr>
        <w:t xml:space="preserve">⟨16⟩</w:t>
      </w:r>
      <w:r>
        <w:t xml:space="preserve">ṟa matakarōm</w:t>
      </w:r>
    </w:p>
    <w:p>
      <w:pPr>
        <w:pStyle w:val="BodyText"/>
      </w:pPr>
      <w:r>
        <w:rPr>
          <w:b/>
          <w:bCs/>
        </w:rPr>
        <w:t xml:space="preserve">śrī</w:t>
      </w:r>
      <w:r>
        <w:t xml:space="preserve"> </w:t>
      </w:r>
      <w:r>
        <w:t xml:space="preserve">◦◦◦◦⁓</w:t>
      </w:r>
    </w:p>
    <w:p>
      <w:pPr>
        <w:pStyle w:val="Heading1"/>
      </w:pPr>
      <w:r>
        <w:t xml:space="preserve">Translation by Kuppusamy &amp; Vijayavenugopal 2010</w:t>
      </w:r>
    </w:p>
    <w:p>
      <w:pPr>
        <w:pStyle w:val="FirstParagraph"/>
      </w:pPr>
      <w:r>
        <w:rPr>
          <w:rStyle w:val="ColorGray"/>
        </w:rPr>
        <w:t xml:space="preserve">⟨1⟩</w:t>
      </w:r>
      <w:r>
        <w:t xml:space="preserve"> </w:t>
      </w:r>
      <w:r>
        <w:t xml:space="preserve">Hail! Prosperity!</w:t>
      </w:r>
    </w:p>
    <w:p>
      <w:pPr>
        <w:pStyle w:val="BodyText"/>
      </w:pPr>
      <w:r>
        <w:rPr>
          <w:rStyle w:val="ColorGray"/>
        </w:rPr>
        <w:t xml:space="preserve">⟨1⟩</w:t>
      </w:r>
      <w:r>
        <w:t xml:space="preserve"> </w:t>
      </w:r>
      <w:r>
        <w:t xml:space="preserve">Year 22 ⟨of the reign⟩ of Kaṉṉara-tēvar.</w:t>
      </w:r>
    </w:p>
    <w:p>
      <w:pPr>
        <w:pStyle w:val="BodyText"/>
      </w:pPr>
      <w:r>
        <w:rPr>
          <w:rStyle w:val="ColorGray"/>
        </w:rPr>
        <w:t xml:space="preserve">⟨2–5⟩</w:t>
      </w:r>
      <w:r>
        <w:t xml:space="preserve"> </w:t>
      </w:r>
      <w:r>
        <w:t xml:space="preserve">The donation that we, the shepherds of Vākūr-nāṭu on the Northern bank of Vēcālippāṭi set up for the Lord of śrī-Mūlastāṉam of Vākūr ⟨is as follows⟩.</w:t>
      </w:r>
    </w:p>
    <w:p>
      <w:pPr>
        <w:pStyle w:val="BodyText"/>
      </w:pPr>
      <w:r>
        <w:rPr>
          <w:rStyle w:val="ColorGray"/>
        </w:rPr>
        <w:t xml:space="preserve">⟨5–6⟩</w:t>
      </w:r>
      <w:r>
        <w:t xml:space="preserve"> </w:t>
      </w:r>
      <w:r>
        <w:t xml:space="preserve">At the occasion of climbing the cot</w:t>
      </w:r>
      <w:r>
        <w:rPr>
          <w:rStyle w:val="FootnoteReference"/>
        </w:rPr>
        <w:footnoteReference w:id="9"/>
      </w:r>
      <w:r>
        <w:t xml:space="preserve"> </w:t>
      </w:r>
      <w:r>
        <w:t xml:space="preserve">we shall give a sheep ⟨to the temple on behalf of the shepherd⟩ and climb the cot.</w:t>
      </w:r>
    </w:p>
    <w:p>
      <w:pPr>
        <w:pStyle w:val="BodyText"/>
      </w:pPr>
      <w:r>
        <w:rPr>
          <w:rStyle w:val="ColorGray"/>
        </w:rPr>
        <w:t xml:space="preserve">⟨6–9⟩</w:t>
      </w:r>
      <w:r>
        <w:t xml:space="preserve"> </w:t>
      </w:r>
      <w:r>
        <w:t xml:space="preserve">We shall give a sheep to the shepherd who migrates from other country and climbs the cot in this</w:t>
      </w:r>
      <w:r>
        <w:t xml:space="preserve"> </w:t>
      </w:r>
      <w:r>
        <w:rPr>
          <w:i/>
          <w:iCs/>
        </w:rPr>
        <w:t xml:space="preserve">nāṭu</w:t>
      </w:r>
      <w:r>
        <w:t xml:space="preserve">.</w:t>
      </w:r>
    </w:p>
    <w:p>
      <w:pPr>
        <w:pStyle w:val="BodyText"/>
      </w:pPr>
      <w:r>
        <w:rPr>
          <w:rStyle w:val="ColorGray"/>
        </w:rPr>
        <w:t xml:space="preserve">⟨10–12⟩</w:t>
      </w:r>
      <w:r>
        <w:t xml:space="preserve"> </w:t>
      </w:r>
      <w:r>
        <w:t xml:space="preserve">If we violate ⟨this prescription⟩, the important members of the ⟨village administrative⟩ group and the temple servants ⟨ancers⟩ shall seize two ⟨of our⟩ sheep.</w:t>
      </w:r>
    </w:p>
    <w:p>
      <w:pPr>
        <w:pStyle w:val="BodyText"/>
      </w:pPr>
      <w:r>
        <w:rPr>
          <w:rStyle w:val="ColorGray"/>
        </w:rPr>
        <w:t xml:space="preserve">⟨12–13⟩</w:t>
      </w:r>
      <w:r>
        <w:t xml:space="preserve"> </w:t>
      </w:r>
      <w:r>
        <w:t xml:space="preserve">We, the shepherds of this</w:t>
      </w:r>
      <w:r>
        <w:t xml:space="preserve"> </w:t>
      </w:r>
      <w:r>
        <w:rPr>
          <w:i/>
          <w:iCs/>
        </w:rPr>
        <w:t xml:space="preserve">nāṭu</w:t>
      </w:r>
      <w:r>
        <w:t xml:space="preserve">, have ⟨thus⟩ ordained upon mutual consent.</w:t>
      </w:r>
    </w:p>
    <w:p>
      <w:pPr>
        <w:pStyle w:val="BodyText"/>
      </w:pPr>
      <w:r>
        <w:rPr>
          <w:rStyle w:val="ColorGray"/>
        </w:rPr>
        <w:t xml:space="preserve">⟨13–16⟩</w:t>
      </w:r>
      <w:r>
        <w:t xml:space="preserve"> </w:t>
      </w:r>
      <w:r>
        <w:t xml:space="preserve">We, who do the work of the sluice</w:t>
      </w:r>
      <w:r>
        <w:t xml:space="preserve"> </w:t>
      </w:r>
      <w:r>
        <w:rPr>
          <w:i/>
          <w:iCs/>
        </w:rPr>
        <w:t xml:space="preserve">mataku</w:t>
      </w:r>
      <w:r>
        <w:rPr>
          <w:rStyle w:val="FootnoteReference"/>
        </w:rPr>
        <w:footnoteReference w:id="10"/>
      </w:r>
      <w:r>
        <w:t xml:space="preserve"> </w:t>
      </w:r>
      <w:r>
        <w:t xml:space="preserve">of this</w:t>
      </w:r>
      <w:r>
        <w:t xml:space="preserve"> </w:t>
      </w:r>
      <w:r>
        <w:rPr>
          <w:i/>
          <w:iCs/>
        </w:rPr>
        <w:t xml:space="preserve">nāṭu</w:t>
      </w:r>
      <w:r>
        <w:t xml:space="preserve">, shall maintain this donation so that it exists as long as the moon and the sun will last.</w:t>
      </w:r>
    </w:p>
    <w:p>
      <w:pPr>
        <w:pStyle w:val="BodyText"/>
      </w:pPr>
      <w:r>
        <w:rPr>
          <w:rStyle w:val="ColorGray"/>
        </w:rPr>
        <w:t xml:space="preserve">⟨16⟩</w:t>
      </w:r>
      <w:r>
        <w:t xml:space="preserve"> </w:t>
      </w:r>
      <w:r>
        <w:t xml:space="preserve">Prosperity.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Reported in ARIE 1901–02 (ARIE/1901-1902/B/1902/177).</w:t>
      </w:r>
    </w:p>
    <w:p>
      <w:pPr>
        <w:pStyle w:val="BodyText"/>
      </w:pPr>
      <w:r>
        <w:t xml:space="preserve">Edited in Subrahmanya Aiyer 1932 (</w:t>
      </w:r>
      <w:hyperlink r:id="rId11">
        <w:r>
          <w:rPr>
            <w:rStyle w:val="Hyperlink"/>
          </w:rPr>
          <w:t xml:space="preserve">SII 7.804</w:t>
        </w:r>
      </w:hyperlink>
      <w:r>
        <w:t xml:space="preserve">).</w:t>
      </w:r>
    </w:p>
    <w:p>
      <w:pPr>
        <w:pStyle w:val="BodyText"/>
      </w:pPr>
      <w:r>
        <w:t xml:space="preserve">Edited in Kuppusamy &amp; Vijayavenugopal 2006 (PI 4) and translated in Kuppusamy &amp; Vijayavenugopal 2010 (PI 4).</w:t>
      </w:r>
    </w:p>
    <w:p>
      <w:pPr>
        <w:pStyle w:val="BodyText"/>
      </w:pPr>
      <w:r>
        <w:t xml:space="preserve">This digital edition by Emmanuel Francis, based on Kuppusamy &amp; Vijayavenugopal 2006. This translation adapted from Kuppusamy &amp; Vijayavenugopal 2010 and changed (lines 10-13).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[SII]</w:t>
      </w:r>
      <w:r>
        <w:t xml:space="preserve"> </w:t>
      </w:r>
      <w:r>
        <w:t xml:space="preserve">Subrahmanya Aiyer, K.V. 1932.</w:t>
      </w:r>
      <w:r>
        <w:t xml:space="preserve"> </w:t>
      </w:r>
      <w:r>
        <w:rPr>
          <w:i/>
          <w:iCs/>
        </w:rPr>
        <w:t xml:space="preserve">South-Indian inscriptions (texts). Volume VII: Miscellaneous inscriptions from the Tamil, Malayalam, Telugu and Kannada countries</w:t>
      </w:r>
      <w:r>
        <w:t xml:space="preserve">. South Indian Inscriptions 7. Calcutta: Government of India, Central Publication Branch. Page 409, item 804.</w:t>
      </w:r>
    </w:p>
    <w:p>
      <w:pPr>
        <w:pStyle w:val="BodyText"/>
      </w:pPr>
      <w:r>
        <w:rPr>
          <w:b/>
          <w:bCs/>
        </w:rPr>
        <w:t xml:space="preserve">[PI]</w:t>
      </w:r>
      <w:r>
        <w:t xml:space="preserve"> </w:t>
      </w:r>
      <w:r>
        <w:t xml:space="preserve">Kuppusamy, Bahour S. &amp; G. Vijayavenugopal. 2006.</w:t>
      </w:r>
      <w:r>
        <w:t xml:space="preserve"> </w:t>
      </w:r>
      <w:r>
        <w:rPr>
          <w:i/>
          <w:iCs/>
        </w:rPr>
        <w:t xml:space="preserve">Pondicherry inscriptions. Part I: Introduction and texts with notes = Putuccēri mānilak kalveṭṭukkaḷ</w:t>
      </w:r>
      <w:r>
        <w:t xml:space="preserve">. Pondichéry: Ecole française d’Extrême-Orient; Institut français de Pondichéry. Pages 3–4, item 4.</w:t>
      </w:r>
    </w:p>
    <w:p>
      <w:pPr>
        <w:pStyle w:val="BodyText"/>
      </w:pPr>
      <w:r>
        <w:rPr>
          <w:b/>
          <w:bCs/>
        </w:rPr>
        <w:t xml:space="preserve">[PI]</w:t>
      </w:r>
      <w:r>
        <w:t xml:space="preserve"> </w:t>
      </w:r>
      <w:r>
        <w:t xml:space="preserve">Kuppusamy, Bahour S. &amp; G. Vijayavenugopal. 2010.</w:t>
      </w:r>
      <w:r>
        <w:t xml:space="preserve"> </w:t>
      </w:r>
      <w:r>
        <w:rPr>
          <w:i/>
          <w:iCs/>
        </w:rPr>
        <w:t xml:space="preserve">Pondicherry inscriptions. Part II: Translation, appendices, glossary and phrases, [and] preface = Putuccēri mānilak kalveṭṭukkaḷ</w:t>
      </w:r>
      <w:r>
        <w:t xml:space="preserve">. Pondichéry: Ecole française d’Extrême-Orient; Institut français de Pondichéry. Page 2, item 4.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rPr>
          <w:b/>
          <w:bCs/>
        </w:rPr>
        <w:t xml:space="preserve">[ARIE]</w:t>
      </w:r>
      <w:r>
        <w:t xml:space="preserve"> </w:t>
      </w:r>
      <w:r>
        <w:t xml:space="preserve">ARIE 1901–02.</w:t>
      </w:r>
      <w:r>
        <w:t xml:space="preserve"> </w:t>
      </w:r>
      <w:r>
        <w:rPr>
          <w:i/>
          <w:iCs/>
        </w:rPr>
        <w:t xml:space="preserve">G.O. Nos. 763, 764, 6th August 1902. Epigraphy. Passing orders on the annual report on – for 1901-1902. Copy to the Government of India</w:t>
      </w:r>
      <w:r>
        <w:t xml:space="preserve">. Edited by Eugen Julius Theodor Hultzsch. Madras: Government of Madras, Public Department, 1902. Page 13, appendix B/1902, item 177.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 ritual during the marriage.</w:t>
      </w:r>
    </w:p>
  </w:footnote>
  <w:footnote w:id="1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That is, sluice openers.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dharmalekha.info/texts/INSSIIv07p0i080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dharmalekha.info/texts/INSSIIv07p0i0804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Pākūr / Vākūr / Bahur, Tirumūlanātar temple, time of Kaṉṉaradeva, year 22</dc:title>
  <dc:creator>Emmanuel Francis</dc:creator>
  <cp:keywords/>
  <dcterms:created xsi:type="dcterms:W3CDTF">2026-11-06T00:09:47Z</dcterms:created>
  <dcterms:modified xsi:type="dcterms:W3CDTF">2026-11-06T00:09:47Z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