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Pākūr / Vākūr / Bahur, Tirumūlanātar temple, time of Kaṉṉaradeva, year 22</w:t>
      </w:r>
    </w:p>
    <w:p>
      <w:pPr>
        <w:pStyle w:val="Author"/>
      </w:pPr>
      <w:r>
        <w:t xml:space="preserve">Emmanuel Francis</w:t>
      </w:r>
    </w:p>
    <w:p>
      <w:pPr>
        <w:pStyle w:val="FirstParagraph"/>
      </w:pPr>
      <w:r>
        <w:t xml:space="preserve">Author of digital edition: Emmanuel Francis</w:t>
      </w:r>
    </w:p>
    <w:p>
      <w:pPr>
        <w:pStyle w:val="BodyText"/>
      </w:pPr>
      <w:r>
        <w:t xml:space="preserve">Identifier: DHARMA_INSPondicherry00003</w:t>
      </w:r>
    </w:p>
    <w:p>
      <w:pPr>
        <w:pStyle w:val="BodyText"/>
      </w:pPr>
      <w:r>
        <w:t xml:space="preserve">Repository: Pondicherry (tfa-pondicherry-epigraphy)</w:t>
      </w:r>
    </w:p>
    <w:p>
      <w:pPr>
        <w:pStyle w:val="BodyText"/>
      </w:pPr>
      <w:r>
        <w:t xml:space="preserve">File path: DHARMA_INSPondicherry00003.xml</w:t>
      </w:r>
    </w:p>
    <w:p>
      <w:pPr>
        <w:pStyle w:val="BodyText"/>
      </w:pPr>
      <w:r>
        <w:t xml:space="preserve">Language: Tamil [Grantha, Tamil]</w:t>
      </w:r>
    </w:p>
    <w:p>
      <w:pPr>
        <w:pStyle w:val="BodyText"/>
      </w:pPr>
      <w:r>
        <w:t xml:space="preserve">Commit: 2026-11-04 20:32 (e2dd903), last modified 2026-10-27 14:35 (c380055)</w:t>
      </w:r>
    </w:p>
    <w:p>
      <w:pPr>
        <w:pStyle w:val="Heading1"/>
      </w:pPr>
      <w:r>
        <w:t xml:space="preserve">Summary</w:t>
      </w:r>
    </w:p>
    <w:p>
      <w:pPr>
        <w:pStyle w:val="FirstParagraph"/>
      </w:pPr>
      <w:r>
        <w:rPr>
          <w:i/>
          <w:iCs/>
        </w:rPr>
        <w:t xml:space="preserve">Ardhamaṇḍapa</w:t>
      </w:r>
      <w:r>
        <w:t xml:space="preserve">, south wall. Kaṉṉaradeva = Kṛṣṇa III Rāṣṭrakūṭa, RY 22 = 961 CE.</w:t>
      </w:r>
    </w:p>
    <w:p>
      <w:r>
        <w:pict>
          <v:rect style="width:0;height:1.5pt" o:hralign="center" o:hrstd="t" o:hr="t"/>
        </w:pict>
      </w:r>
    </w:p>
    <w:p>
      <w:pPr>
        <w:pStyle w:val="Heading1"/>
      </w:pPr>
      <w:r>
        <w:t xml:space="preserve">Edition</w:t>
      </w:r>
    </w:p>
    <w:p>
      <w:pPr>
        <w:pStyle w:val="FirstParagraph"/>
      </w:pPr>
      <w:r>
        <w:rPr>
          <w:rStyle w:val="ColorGray"/>
        </w:rPr>
        <w:t xml:space="preserve"> </w:t>
      </w:r>
      <w:r>
        <w:rPr>
          <w:rStyle w:val="ColorGray"/>
        </w:rPr>
        <w:t xml:space="preserve">⟨1⟩</w:t>
      </w:r>
      <w:r>
        <w:rPr>
          <w:rStyle w:val="ColorGray"/>
        </w:rPr>
        <w:t xml:space="preserve"> </w:t>
      </w:r>
      <w:r>
        <w:t xml:space="preserve">pāṟppati Ammai mukamaṇai Oṉṟu</w:t>
      </w:r>
    </w:p>
    <w:p>
      <w:pPr>
        <w:pStyle w:val="BodyText"/>
      </w:pPr>
      <w:r>
        <w:rPr>
          <w:rStyle w:val="ColorGray"/>
        </w:rPr>
        <w:t xml:space="preserve">⟨2⟩</w:t>
      </w:r>
      <w:r>
        <w:rPr>
          <w:rStyle w:val="ColorGray"/>
        </w:rPr>
        <w:t xml:space="preserve"> </w:t>
      </w:r>
      <w:r>
        <w:t xml:space="preserve">nam poṉ mukamaṇai Oṉṟu</w:t>
      </w:r>
    </w:p>
    <w:p>
      <w:pPr>
        <w:pStyle w:val="BodyText"/>
      </w:pPr>
      <w:r>
        <w:rPr>
          <w:rStyle w:val="ColorGray"/>
        </w:rPr>
        <w:t xml:space="preserve">⟨3⟩</w:t>
      </w:r>
      <w:r>
        <w:rPr>
          <w:rStyle w:val="ColorGray"/>
        </w:rPr>
        <w:t xml:space="preserve"> </w:t>
      </w:r>
      <w:r>
        <w:rPr>
          <w:b/>
          <w:bCs/>
        </w:rPr>
        <w:t xml:space="preserve">śrī</w:t>
      </w:r>
      <w:r>
        <w:t xml:space="preserve">-kaṉṉāra-tēvarkki yāṇṭu</w:t>
      </w:r>
      <w:r>
        <w:rPr>
          <w:rStyle w:val="ColorGray"/>
        </w:rPr>
        <w:t xml:space="preserve"> </w:t>
      </w:r>
      <w:r>
        <w:rPr>
          <w:rStyle w:val="ColorGray"/>
        </w:rPr>
        <w:t xml:space="preserve">⟨4⟩</w:t>
      </w:r>
      <w:r>
        <w:rPr>
          <w:rStyle w:val="ColorGray"/>
        </w:rPr>
        <w:t xml:space="preserve"> </w:t>
      </w:r>
      <w:r>
        <w:t xml:space="preserve">2 10 2-Āvatu</w:t>
      </w:r>
    </w:p>
    <w:p>
      <w:pPr>
        <w:pStyle w:val="BodyText"/>
      </w:pPr>
      <w:r>
        <w:rPr>
          <w:b/>
          <w:bCs/>
        </w:rPr>
        <w:t xml:space="preserve">śrī</w:t>
      </w:r>
      <w:r>
        <w:t xml:space="preserve">-m</w:t>
      </w:r>
      <w:r>
        <w:rPr>
          <w:rStyle w:val="ColorMagenta"/>
        </w:rPr>
        <w:t xml:space="preserve">¡u!</w:t>
      </w:r>
      <w:r>
        <w:rPr>
          <w:rStyle w:val="ColorBlue"/>
        </w:rPr>
        <w:t xml:space="preserve">⟨ū⟩</w:t>
      </w:r>
      <w:r>
        <w:t xml:space="preserve">la</w:t>
      </w:r>
      <w:r>
        <w:rPr>
          <w:b/>
          <w:bCs/>
        </w:rPr>
        <w:t xml:space="preserve">s</w:t>
      </w:r>
      <w:r>
        <w:rPr>
          <w:rStyle w:val="ColorMagenta"/>
          <w:b/>
          <w:bCs/>
        </w:rPr>
        <w:t xml:space="preserve">¡t!</w:t>
      </w:r>
      <w:r>
        <w:rPr>
          <w:rStyle w:val="ColorBlue"/>
          <w:b/>
          <w:bCs/>
        </w:rPr>
        <w:t xml:space="preserve">⟨th⟩</w:t>
      </w:r>
      <w:r>
        <w:rPr>
          <w:b/>
          <w:bCs/>
        </w:rPr>
        <w:t xml:space="preserve">ā</w:t>
      </w:r>
      <w:r>
        <w:t xml:space="preserve">ṉa</w:t>
      </w:r>
      <w:r>
        <w:rPr>
          <w:rStyle w:val="ColorGray"/>
        </w:rPr>
        <w:t xml:space="preserve">⟨5⟩</w:t>
      </w:r>
      <w:r>
        <w:t xml:space="preserve">m A</w:t>
      </w:r>
      <w:r>
        <w:rPr>
          <w:b/>
          <w:bCs/>
        </w:rPr>
        <w:t xml:space="preserve">ṁśa</w:t>
      </w:r>
      <w:r>
        <w:t xml:space="preserve">m-uṭaiya tiru-k-kōyil Uṭaiyār Elārmāyapāṟppati</w:t>
      </w:r>
      <w:r>
        <w:rPr>
          <w:rStyle w:val="ColorGray"/>
        </w:rPr>
        <w:t xml:space="preserve"> </w:t>
      </w:r>
      <w:r>
        <w:rPr>
          <w:rStyle w:val="ColorGray"/>
        </w:rPr>
        <w:t xml:space="preserve">⟨6⟩</w:t>
      </w:r>
      <w:r>
        <w:rPr>
          <w:rStyle w:val="ColorGray"/>
        </w:rPr>
        <w:t xml:space="preserve"> </w:t>
      </w:r>
      <w:r>
        <w:t xml:space="preserve">parammaikku</w:t>
      </w:r>
      <w:r>
        <w:t xml:space="preserve"> </w:t>
      </w:r>
      <w:r>
        <w:rPr>
          <w:rStyle w:val="ColorRed"/>
          <w:b/>
          <w:bCs/>
        </w:rPr>
        <w:t xml:space="preserve">¿ś?</w:t>
      </w:r>
      <w:r>
        <w:rPr>
          <w:rStyle w:val="ColorGreen"/>
          <w:b/>
          <w:bCs/>
        </w:rPr>
        <w:t xml:space="preserve">⟨c⟩</w:t>
      </w:r>
      <w:r>
        <w:rPr>
          <w:b/>
          <w:bCs/>
        </w:rPr>
        <w:t xml:space="preserve">antrā</w:t>
      </w:r>
      <w:r>
        <w:t xml:space="preserve">ti</w:t>
      </w:r>
      <w:r>
        <w:rPr>
          <w:b/>
          <w:bCs/>
        </w:rPr>
        <w:t xml:space="preserve">tya</w:t>
      </w:r>
      <w:r>
        <w:t xml:space="preserve">val Erikka ⟨ka⟩ṭava cāmaviḷakku O</w:t>
      </w:r>
      <w:r>
        <w:rPr>
          <w:rStyle w:val="ColorGray"/>
        </w:rPr>
        <w:t xml:space="preserve">⟨7⟩</w:t>
      </w:r>
      <w:r>
        <w:t xml:space="preserve">ṉṟu</w:t>
      </w:r>
    </w:p>
    <w:p>
      <w:pPr>
        <w:pStyle w:val="Heading1"/>
      </w:pPr>
      <w:r>
        <w:t xml:space="preserve">Apparatus</w:t>
      </w:r>
    </w:p>
    <w:p>
      <w:pPr>
        <w:pStyle w:val="FirstParagraph"/>
      </w:pPr>
      <w:r>
        <w:rPr>
          <w:rStyle w:val="ColorGray"/>
        </w:rPr>
        <w:t xml:space="preserve">⟨5⟩</w:t>
      </w:r>
      <w:r>
        <w:t xml:space="preserve"> </w:t>
      </w:r>
      <w:r>
        <w:t xml:space="preserve">tiru-k-kōyil Uṭaiyār Elārmāya pāṟppati PI ⬦</w:t>
      </w:r>
      <w:r>
        <w:t xml:space="preserve"> </w:t>
      </w:r>
      <w:r>
        <w:rPr>
          <w:rStyle w:val="ColorGreen"/>
          <w:i/>
          <w:iCs/>
        </w:rPr>
        <w:t xml:space="preserve">tirukkōyiluṭaiyār [5+]</w:t>
      </w:r>
      <w:r>
        <w:t xml:space="preserve"> </w:t>
      </w:r>
      <w:r>
        <w:t xml:space="preserve">SII.</w:t>
      </w:r>
    </w:p>
    <w:p>
      <w:pPr>
        <w:pStyle w:val="BodyText"/>
      </w:pPr>
      <w:r>
        <w:rPr>
          <w:rStyle w:val="ColorGray"/>
        </w:rPr>
        <w:t xml:space="preserve">⟨7⟩</w:t>
      </w:r>
      <w:r>
        <w:t xml:space="preserve"> </w:t>
      </w:r>
      <w:r>
        <w:t xml:space="preserve">⟨ka⟩ṭava cāmaviḷakku PI ⬦</w:t>
      </w:r>
      <w:r>
        <w:t xml:space="preserve"> </w:t>
      </w:r>
      <w:r>
        <w:rPr>
          <w:rStyle w:val="ColorGreen"/>
          <w:i/>
          <w:iCs/>
        </w:rPr>
        <w:t xml:space="preserve">⟨ka⟩ṭavā</w:t>
      </w:r>
      <w:r>
        <w:rPr>
          <w:rStyle w:val="ColorGreen"/>
          <w:b/>
          <w:bCs/>
          <w:i/>
          <w:iCs/>
        </w:rPr>
        <w:t xml:space="preserve">rā</w:t>
      </w:r>
      <w:r>
        <w:rPr>
          <w:rStyle w:val="ColorGreen"/>
          <w:i/>
          <w:iCs/>
        </w:rPr>
        <w:t xml:space="preserve"> </w:t>
      </w:r>
      <w:r>
        <w:rPr>
          <w:rStyle w:val="ColorGreen"/>
          <w:i/>
          <w:iCs/>
        </w:rPr>
        <w:t xml:space="preserve">⟨kavu⟩m viḷakku</w:t>
      </w:r>
      <w:r>
        <w:t xml:space="preserve"> </w:t>
      </w:r>
      <w:r>
        <w:t xml:space="preserve">SII.</w:t>
      </w:r>
    </w:p>
    <w:p>
      <w:pPr>
        <w:pStyle w:val="Heading1"/>
      </w:pPr>
      <w:r>
        <w:t xml:space="preserve">Translation by Kuppusamy &amp; Vijayavenugopal 2010</w:t>
      </w:r>
    </w:p>
    <w:p>
      <w:pPr>
        <w:pStyle w:val="FirstParagraph"/>
      </w:pPr>
      <w:r>
        <w:rPr>
          <w:rStyle w:val="ColorGray"/>
        </w:rPr>
        <w:t xml:space="preserve">⟨1⟩</w:t>
      </w:r>
      <w:r>
        <w:t xml:space="preserve"> </w:t>
      </w:r>
      <w:r>
        <w:t xml:space="preserve">⟨There shall be⟩ one face mask for Pāṟppati Ammai.</w:t>
      </w:r>
    </w:p>
    <w:p>
      <w:pPr>
        <w:pStyle w:val="BodyText"/>
      </w:pPr>
      <w:r>
        <w:rPr>
          <w:rStyle w:val="ColorGray"/>
        </w:rPr>
        <w:t xml:space="preserve">⟨2⟩</w:t>
      </w:r>
      <w:r>
        <w:t xml:space="preserve"> </w:t>
      </w:r>
      <w:r>
        <w:t xml:space="preserve">⟨There shall be⟩ one face mask made out of good gold.</w:t>
      </w:r>
    </w:p>
    <w:p>
      <w:pPr>
        <w:pStyle w:val="BodyText"/>
      </w:pPr>
      <w:r>
        <w:rPr>
          <w:rStyle w:val="ColorGray"/>
        </w:rPr>
        <w:t xml:space="preserve">⟨3–4⟩</w:t>
      </w:r>
      <w:r>
        <w:t xml:space="preserve"> </w:t>
      </w:r>
      <w:r>
        <w:t xml:space="preserve">22nd year ⟨of the reign⟩ of śrī-Kaṉṉara-tēvar</w:t>
      </w:r>
    </w:p>
    <w:p>
      <w:pPr>
        <w:pStyle w:val="BodyText"/>
      </w:pPr>
      <w:r>
        <w:rPr>
          <w:rStyle w:val="ColorGray"/>
        </w:rPr>
        <w:t xml:space="preserve">⟨4–7⟩</w:t>
      </w:r>
      <w:r>
        <w:t xml:space="preserve"> </w:t>
      </w:r>
      <w:r>
        <w:t xml:space="preserve">One mid-night lamp to be burnt, as long as the moon and the sun will last, to Elārmāya Pārppati Parammai, a part of the Lord of the sacred temple of śrī-Mūlastāṉam of Vākūr.</w:t>
      </w:r>
    </w:p>
    <w:p>
      <w:pPr>
        <w:pStyle w:val="Heading1"/>
      </w:pPr>
      <w:r>
        <w:t xml:space="preserve">Commentary</w:t>
      </w:r>
    </w:p>
    <w:p>
      <w:pPr>
        <w:pStyle w:val="FirstParagraph"/>
      </w:pPr>
      <w:r>
        <w:rPr>
          <w:rStyle w:val="ColorGray"/>
        </w:rPr>
        <w:t xml:space="preserve">⟨1–2⟩</w:t>
      </w:r>
      <w:r>
        <w:t xml:space="preserve"> </w:t>
      </w:r>
      <w:r>
        <w:t xml:space="preserve">The first two lines should come at the end; but due to non-availability of space they were inscribed above.</w:t>
      </w:r>
    </w:p>
    <w:p>
      <w:pPr>
        <w:pStyle w:val="Heading1"/>
      </w:pPr>
      <w:r>
        <w:t xml:space="preserve">Bibliography</w:t>
      </w:r>
    </w:p>
    <w:p>
      <w:pPr>
        <w:pStyle w:val="FirstParagraph"/>
      </w:pPr>
      <w:r>
        <w:t xml:space="preserve">Reported in ARIE 1901–02 (ARIE/1901-1902/B/1902/176).</w:t>
      </w:r>
    </w:p>
    <w:p>
      <w:pPr>
        <w:pStyle w:val="BodyText"/>
      </w:pPr>
      <w:r>
        <w:t xml:space="preserve">Edited in Subrahmanya Aiyer 1932 (</w:t>
      </w:r>
      <w:hyperlink r:id="rId9">
        <w:r>
          <w:rPr>
            <w:rStyle w:val="Hyperlink"/>
          </w:rPr>
          <w:t xml:space="preserve">SII 7.803</w:t>
        </w:r>
      </w:hyperlink>
      <w:r>
        <w:t xml:space="preserve">). Lines 3-7 only.</w:t>
      </w:r>
    </w:p>
    <w:p>
      <w:pPr>
        <w:pStyle w:val="BodyText"/>
      </w:pPr>
      <w:r>
        <w:t xml:space="preserve">Edited in Kuppusamy &amp; Vijayavenugopal 2006 (PI 3) and translated in Kuppusamy &amp; Vijayavenugopal 2010 (PI 4).</w:t>
      </w:r>
    </w:p>
    <w:p>
      <w:pPr>
        <w:pStyle w:val="BodyText"/>
      </w:pPr>
      <w:r>
        <w:t xml:space="preserve">This digital edition by Emmanuel Francis, based on Kuppusamy &amp; Vijayavenugopal 2006. This translation adapted from Kuppusamy &amp; Vijayavenugopal 2010.</w:t>
      </w:r>
    </w:p>
    <w:p>
      <w:pPr>
        <w:pStyle w:val="Heading2"/>
      </w:pPr>
      <w:r>
        <w:t xml:space="preserve">Primary</w:t>
      </w:r>
    </w:p>
    <w:p>
      <w:pPr>
        <w:pStyle w:val="FirstParagraph"/>
      </w:pPr>
      <w:r>
        <w:rPr>
          <w:b/>
          <w:bCs/>
        </w:rPr>
        <w:t xml:space="preserve">[SII]</w:t>
      </w:r>
      <w:r>
        <w:t xml:space="preserve"> </w:t>
      </w:r>
      <w:r>
        <w:t xml:space="preserve">Subrahmanya Aiyer, K.V. 1932.</w:t>
      </w:r>
      <w:r>
        <w:t xml:space="preserve"> </w:t>
      </w:r>
      <w:r>
        <w:rPr>
          <w:i/>
          <w:iCs/>
        </w:rPr>
        <w:t xml:space="preserve">South-Indian inscriptions (texts). Volume VII: Miscellaneous inscriptions from the Tamil, Malayalam, Telugu and Kannada countries</w:t>
      </w:r>
      <w:r>
        <w:t xml:space="preserve">. South Indian Inscriptions 7. Calcutta: Government of India, Central Publication Branch. Page 408, item 803.</w:t>
      </w:r>
    </w:p>
    <w:p>
      <w:pPr>
        <w:pStyle w:val="BodyText"/>
      </w:pPr>
      <w:r>
        <w:rPr>
          <w:b/>
          <w:bCs/>
        </w:rPr>
        <w:t xml:space="preserve">[PI]</w:t>
      </w:r>
      <w:r>
        <w:t xml:space="preserve"> </w:t>
      </w:r>
      <w:r>
        <w:t xml:space="preserve">Kuppusamy, Bahour S. &amp; G. Vijayavenugopal. 2006.</w:t>
      </w:r>
      <w:r>
        <w:t xml:space="preserve"> </w:t>
      </w:r>
      <w:r>
        <w:rPr>
          <w:i/>
          <w:iCs/>
        </w:rPr>
        <w:t xml:space="preserve">Pondicherry inscriptions. Part I: Introduction and texts with notes = Putuccēri mānilak kalveṭṭukkaḷ</w:t>
      </w:r>
      <w:r>
        <w:t xml:space="preserve">. Pondichéry: Ecole française d’Extrême-Orient; Institut français de Pondichéry. Pages 2–3, item 2.</w:t>
      </w:r>
    </w:p>
    <w:p>
      <w:pPr>
        <w:pStyle w:val="BodyText"/>
      </w:pPr>
      <w:r>
        <w:rPr>
          <w:b/>
          <w:bCs/>
        </w:rPr>
        <w:t xml:space="preserve">[PI]</w:t>
      </w:r>
      <w:r>
        <w:t xml:space="preserve"> </w:t>
      </w:r>
      <w:r>
        <w:t xml:space="preserve">Kuppusamy, Bahour S. &amp; G. Vijayavenugopal. 2010.</w:t>
      </w:r>
      <w:r>
        <w:t xml:space="preserve"> </w:t>
      </w:r>
      <w:r>
        <w:rPr>
          <w:i/>
          <w:iCs/>
        </w:rPr>
        <w:t xml:space="preserve">Pondicherry inscriptions. Part II: Translation, appendices, glossary and phrases, [and] preface = Putuccēri mānilak kalveṭṭukkaḷ</w:t>
      </w:r>
      <w:r>
        <w:t xml:space="preserve">. Pondichéry: Ecole française d’Extrême-Orient; Institut français de Pondichéry. Pages 1–2, item 3.</w:t>
      </w:r>
    </w:p>
    <w:p>
      <w:pPr>
        <w:pStyle w:val="Heading2"/>
      </w:pPr>
      <w:r>
        <w:t xml:space="preserve">Secondary</w:t>
      </w:r>
    </w:p>
    <w:p>
      <w:pPr>
        <w:pStyle w:val="FirstParagraph"/>
      </w:pPr>
      <w:r>
        <w:rPr>
          <w:b/>
          <w:bCs/>
        </w:rPr>
        <w:t xml:space="preserve">[ARIE]</w:t>
      </w:r>
      <w:r>
        <w:t xml:space="preserve"> </w:t>
      </w:r>
      <w:r>
        <w:t xml:space="preserve">ARIE 1901–02.</w:t>
      </w:r>
      <w:r>
        <w:t xml:space="preserve"> </w:t>
      </w:r>
      <w:r>
        <w:rPr>
          <w:i/>
          <w:iCs/>
        </w:rPr>
        <w:t xml:space="preserve">G.O. Nos. 763, 764, 6th August 1902. Epigraphy. Passing orders on the annual report on – for 1901-1902. Copy to the Government of India</w:t>
      </w:r>
      <w:r>
        <w:t xml:space="preserve">. Edited by Eugen Julius Theodor Hultzsch. Madras: Government of Madras, Public Department, 1902. Page 13, appendix B/1902, item 176.</w:t>
      </w:r>
    </w:p>
    <w:sectPr>
      <w:footnotePr>
        <w:numFmt w:val="decimal"/>
        <w:numRestart w:val="eachSect"/>
      </w:footnotePr>
      <w:type w:val="nextPage"/>
      <w:pgSz w:h="15840" w:w="12240"/>
      <w:pgMar w:bottom="1440" w:footer="0" w:gutter="0" w:header="0" w:left="1440" w:right="1440" w:top="1440"/>
      <w:pgNumType w:fmt="decimal"/>
      <w:formProt w:val="false"/>
      <w:textDirection w:val="lrTb"/>
      <w:docGrid w:charSpace="0" w:linePitch="100" w:type="default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Aptos">
    <w:charset w:val="01"/>
    <w:family w:val="auto"/>
    <w:pitch w:val="default"/>
  </w:font>
  <w:font w:name="Gentium">
    <w:charset w:val="01"/>
    <w:family w:val="auto"/>
    <w:pitch w:val="default"/>
  </w:font>
  <w:font w:name="Aptos Display">
    <w:charset w:val="01"/>
    <w:family w:val="auto"/>
    <w:pitch w:val="default"/>
  </w:font>
  <w:font w:name="Consolas">
    <w:charset w:val="01"/>
    <w:family w:val="auto"/>
    <w:pitch w:val="default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4="http://schemas.microsoft.com/office/word/2010/wordml" mc:Ignorable="w14">
  <w:abstractNum w:abstractNumId="1">
    <w:lvl w:ilvl="0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  <w:lvl w:ilvl="1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  <w:lvl w:ilvl="2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  <w:lvl w:ilvl="3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  <w:lvl w:ilvl="4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  <w:lvl w:ilvl="5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  <w:lvl w:ilvl="6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  <w:lvl w:ilvl="7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  <w:lvl w:ilvl="8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  <w:lvl w:ilvl="1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  <w:lvl w:ilvl="2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  <w:lvl w:ilvl="3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  <w:lvl w:ilvl="4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  <w:lvl w:ilvl="5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  <w:lvl w:ilvl="6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  <w:lvl w:ilvl="7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  <w:lvl w:ilvl="8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</w:abstractNum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">
    <w:abstractNumId w:val="1"/>
  </w:num>
  <w:num w:numId="2">
    <w:abstractNumId w:val="2"/>
  </w: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75"/>
  <w:embedSystemFonts/>
  <w:proofState w:grammar="clean" w:spelling="clean"/>
  <w:stylePaneFormatFilter w:val="0004"/>
  <w:doNotTrackMoves/>
  <w:defaultTabStop w:val="720"/>
  <w:autoHyphenation w:val="true"/>
  <w:hyphenationZone w:val="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compat>
    <w:compatSetting w:name="compatibilityMode" w:uri="http://schemas.microsoft.com/office/word" w:val="12"/>
  </w:compat>
  <w:rsids>
  </w:rsids>
  <w:themeFontLang w:bidi="" w:eastAsia=""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mc="http://schemas.openxmlformats.org/markup-compatibility/2006" xmlns:w="http://schemas.openxmlformats.org/wordprocessingml/2006/main" xmlns:w14="http://schemas.microsoft.com/office/word/2010/wordml" mc:Ignorable="w14">
  <w:docDefaults>
    <w:rPrDefault>
      <w:rPr>
        <w:rFonts w:ascii="Aptos" w:asciiTheme="minorHAnsi" w:cs="" w:cstheme="minorBidi" w:eastAsia="Aptos" w:eastAsiaTheme="minorHAnsi" w:hAnsi="Aptos" w:hAnsiTheme="minorHAnsi"/>
        <w:sz w:val="24"/>
        <w:szCs w:val="24"/>
        <w:lang w:bidi="ar-SA" w:eastAsia="en-US" w:val="en-US"/>
      </w:rPr>
    </w:rPrDefault>
    <w:pPrDefault>
      <w:pPr>
        <w:suppressAutoHyphens w:val="true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widowControl/>
      <w:suppressAutoHyphens w:val="true"/>
      <w:bidi w:val="0"/>
      <w:spacing w:after="200" w:before="0" w:line="276" w:lineRule="auto"/>
      <w:jc w:val="left"/>
    </w:pPr>
    <w:rPr>
      <w:rFonts w:ascii="Gentium" w:cs="" w:cstheme="minorBidi" w:eastAsia="Aptos" w:eastAsiaTheme="minorHAnsi" w:hAnsi="Gentium"/>
      <w:color w:val="auto"/>
      <w:kern w:val="0"/>
      <w:sz w:val="24"/>
      <w:szCs w:val="24"/>
      <w:lang w:bidi="ar-SA" w:eastAsia="en-US" w:val="en-US"/>
    </w:rPr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 w:val="true"/>
      <w:keepLines/>
      <w:spacing w:after="80" w:before="360" w:line="240" w:lineRule="auto"/>
      <w:outlineLvl w:val="0"/>
    </w:pPr>
    <w:rPr>
      <w:rFonts w:ascii="Gentium" w:cs="" w:cstheme="majorBidi" w:eastAsia="" w:eastAsiaTheme="majorEastAsia" w:hAnsi="Gentium"/>
      <w:color w:val="auto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 w:val="true"/>
      <w:keepLines/>
      <w:spacing w:after="80" w:before="160"/>
      <w:outlineLvl w:val="1"/>
    </w:pPr>
    <w:rPr>
      <w:rFonts w:ascii="Gentium" w:cs="" w:cstheme="majorBidi" w:eastAsia="" w:eastAsiaTheme="majorEastAsia" w:hAnsi="Gentium"/>
      <w:color w:val="000000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 w:val="true"/>
      <w:keepLines/>
      <w:spacing w:after="80" w:before="160"/>
      <w:outlineLvl w:val="2"/>
    </w:pPr>
    <w:rPr>
      <w:rFonts w:ascii="Gentium" w:cs="" w:cstheme="majorBidi" w:eastAsia="" w:eastAsiaTheme="majorEastAsia" w:hAnsi="Gentium"/>
      <w:color w:val="000000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 w:val="true"/>
      <w:keepLines/>
      <w:spacing w:after="40" w:before="80"/>
      <w:outlineLvl w:val="3"/>
    </w:pPr>
    <w:rPr>
      <w:rFonts w:ascii="Gentium" w:cs="" w:cstheme="majorBidi" w:eastAsia="" w:eastAsiaTheme="majorEastAsia" w:hAnsi="Gentium"/>
      <w:i/>
      <w:iCs/>
      <w:color w:val="000000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 w:val="true"/>
      <w:keepLines/>
      <w:spacing w:after="40" w:before="80"/>
      <w:outlineLvl w:val="4"/>
    </w:pPr>
    <w:rPr>
      <w:rFonts w:ascii="Gentium" w:cs="" w:cstheme="majorBidi" w:eastAsia="" w:eastAsiaTheme="majorEastAsia" w:hAnsi="Gentium"/>
      <w:color w:val="000000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 w:val="true"/>
      <w:keepLines/>
      <w:spacing w:after="0" w:before="40"/>
      <w:outlineLvl w:val="5"/>
    </w:pPr>
    <w:rPr>
      <w:rFonts w:ascii="Gentium" w:cs="" w:cstheme="majorBidi" w:eastAsia="" w:eastAsiaTheme="majorEastAsia" w:hAnsi="Gentium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 w:val="true"/>
      <w:keepLines/>
      <w:spacing w:after="0" w:before="40"/>
      <w:outlineLvl w:val="6"/>
    </w:pPr>
    <w:rPr>
      <w:rFonts w:ascii="Gentium" w:cs="" w:cstheme="majorBidi" w:eastAsia="" w:eastAsiaTheme="majorEastAsia" w:hAnsi="Gentium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 w:val="true"/>
      <w:keepLines/>
      <w:spacing w:after="0" w:before="0"/>
      <w:outlineLvl w:val="7"/>
    </w:pPr>
    <w:rPr>
      <w:rFonts w:ascii="Gentium" w:cs="" w:cstheme="majorBidi" w:eastAsia="" w:eastAsiaTheme="majorEastAsia" w:hAnsi="Gentium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 w:val="true"/>
      <w:keepLines/>
      <w:spacing w:after="0" w:before="0"/>
      <w:outlineLvl w:val="8"/>
    </w:pPr>
    <w:rPr>
      <w:rFonts w:ascii="Gentium" w:cs="" w:cstheme="majorBidi" w:eastAsia="" w:eastAsiaTheme="majorEastAsia" w:hAnsi="Gentium"/>
      <w:color w:themeColor="text1" w:themeTint="d8" w:val="272727"/>
    </w:rPr>
  </w:style>
  <w:style w:customStyle="1" w:styleId="TitleChar" w:type="character">
    <w:name w:val="Title Char"/>
    <w:basedOn w:val="DefaultParagraphFont"/>
    <w:link w:val="Title"/>
    <w:uiPriority w:val="10"/>
    <w:qFormat/>
    <w:rsid w:val="00a10fd9"/>
    <w:rPr>
      <w:rFonts w:ascii="Aptos Display" w:asciiTheme="majorHAnsi" w:cs="" w:cstheme="majorBidi" w:eastAsia="" w:eastAsiaTheme="majorEastAsia" w:hAnsi="Aptos Display" w:hAnsiTheme="majorHAnsi"/>
      <w:sz w:val="56"/>
      <w:szCs w:val="56"/>
    </w:rPr>
  </w:style>
  <w:style w:customStyle="1" w:styleId="SubtitleChar" w:type="character">
    <w:name w:val="Subtitle Char"/>
    <w:basedOn w:val="DefaultParagraphFont"/>
    <w:link w:val="Subtitle"/>
    <w:uiPriority w:val="11"/>
    <w:qFormat/>
    <w:rsid w:val="00a10fd9"/>
    <w:rPr>
      <w:rFonts w:cs="" w:cstheme="majorBidi" w:eastAsia="" w:eastAsiaTheme="majorEastAsia"/>
      <w:color w:themeColor="text1" w:themeTint="a6" w:val="595959"/>
      <w:spacing w:val="15"/>
      <w:sz w:val="28"/>
      <w:szCs w:val="28"/>
    </w:rPr>
  </w:style>
  <w:style w:customStyle="1" w:styleId="Heading1Char" w:type="character">
    <w:name w:val="Heading 1 Char"/>
    <w:basedOn w:val="DefaultParagraphFont"/>
    <w:link w:val="Heading1"/>
    <w:uiPriority w:val="9"/>
    <w:qFormat/>
    <w:rsid w:val="00a10fd9"/>
    <w:rPr>
      <w:rFonts w:ascii="Aptos Display" w:asciiTheme="majorHAnsi" w:cs="" w:cstheme="majorBidi" w:eastAsia="" w:eastAsiaTheme="majorEastAsia" w:hAnsi="Aptos Display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qFormat/>
    <w:rsid w:val="00a10fd9"/>
    <w:rPr>
      <w:rFonts w:ascii="Aptos Display" w:asciiTheme="majorHAnsi" w:cs="" w:cstheme="majorBidi" w:eastAsia="" w:eastAsiaTheme="majorEastAsia" w:hAnsi="Aptos Display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qFormat/>
    <w:rsid w:val="00a10fd9"/>
    <w:rPr>
      <w:rFonts w:cs="" w:cstheme="majorBidi" w:eastAsia="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qFormat/>
    <w:rsid w:val="00a10fd9"/>
    <w:rPr>
      <w:rFonts w:cs="" w:cstheme="majorBidi" w:eastAsia="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qFormat/>
    <w:rsid w:val="00a10fd9"/>
    <w:rPr>
      <w:rFonts w:cs="" w:cstheme="majorBidi" w:eastAsia="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qFormat/>
    <w:rsid w:val="00a10fd9"/>
    <w:rPr>
      <w:rFonts w:cs="" w:cstheme="majorBidi" w:eastAsia="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qFormat/>
    <w:rsid w:val="00a10fd9"/>
    <w:rPr>
      <w:rFonts w:cs="" w:cstheme="majorBidi" w:eastAsia="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qFormat/>
    <w:rsid w:val="00a10fd9"/>
    <w:rPr>
      <w:rFonts w:cs="" w:cstheme="majorBidi" w:eastAsia="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qFormat/>
    <w:rsid w:val="00a10fd9"/>
    <w:rPr>
      <w:rFonts w:cs="" w:cstheme="majorBidi" w:eastAsia="" w:eastAsiaTheme="majorEastAsia"/>
      <w:color w:themeColor="text1" w:themeTint="d8" w:val="272727"/>
    </w:rPr>
  </w:style>
  <w:style w:default="1" w:styleId="DefaultParagraphFont" w:type="character">
    <w:name w:val="Default Paragraph Font"/>
    <w:semiHidden/>
    <w:unhideWhenUsed/>
    <w:qFormat/>
    <w:rPr/>
  </w:style>
  <w:style w:customStyle="1" w:styleId="BodyTextChar" w:type="character">
    <w:name w:val="Body Text Char"/>
    <w:basedOn w:val="DefaultParagraphFont"/>
    <w:qFormat/>
    <w:rPr/>
  </w:style>
  <w:style w:customStyle="1" w:styleId="VerbatimChar" w:type="character">
    <w:name w:val="Verbatim Char"/>
    <w:basedOn w:val="BodyTextChar"/>
    <w:qFormat/>
    <w:rPr>
      <w:rFonts w:ascii="Consolas" w:hAnsi="Consolas"/>
      <w:sz w:val="22"/>
    </w:rPr>
  </w:style>
  <w:style w:customStyle="1" w:styleId="SectionNumber" w:type="character">
    <w:name w:val="Section Number"/>
    <w:basedOn w:val="BodyTextChar"/>
    <w:qFormat/>
    <w:rPr/>
  </w:style>
  <w:style w:styleId="FootnoteCharactersuser" w:type="character">
    <w:name w:val="Footnote Characters (user)"/>
    <w:qFormat/>
    <w:rPr>
      <w:vertAlign w:val="superscript"/>
    </w:rPr>
  </w:style>
  <w:style w:styleId="FootnoteCharacters" w:type="character">
    <w:name w:val="Footnote Characters"/>
    <w:qFormat/>
    <w:rPr>
      <w:vertAlign w:val="superscript"/>
    </w:rPr>
  </w:style>
  <w:style w:styleId="FootnoteReference" w:type="character">
    <w:name w:val="footnote reference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ColorGray" w:type="character">
    <w:name w:val="ColorGray"/>
    <w:basedOn w:val="BodyTextChar"/>
    <w:qFormat/>
    <w:rPr>
      <w:color w:val="666666"/>
    </w:rPr>
  </w:style>
  <w:style w:styleId="ColorGreen" w:type="character">
    <w:name w:val="ColorGreen"/>
    <w:basedOn w:val="DefaultParagraphFont"/>
    <w:qFormat/>
    <w:rPr>
      <w:color w:val="069A2E"/>
    </w:rPr>
  </w:style>
  <w:style w:styleId="ColorBrown" w:type="character">
    <w:name w:val="ColorBrown"/>
    <w:basedOn w:val="ColorGreen"/>
    <w:qFormat/>
    <w:rPr>
      <w:color w:val="784B04"/>
    </w:rPr>
  </w:style>
  <w:style w:styleId="CaptionCharactersuser" w:type="character">
    <w:name w:val="Caption Characters (user)"/>
    <w:qFormat/>
    <w:rPr/>
  </w:style>
  <w:style w:styleId="ColorRed" w:type="character">
    <w:name w:val="ColorRed"/>
    <w:basedOn w:val="CaptionCharactersuser"/>
    <w:qFormat/>
    <w:rPr>
      <w:color w:val="C9211E"/>
    </w:rPr>
  </w:style>
  <w:style w:styleId="ColorMagenta" w:type="character">
    <w:name w:val="ColorMagenta"/>
    <w:basedOn w:val="ColorBrown"/>
    <w:qFormat/>
    <w:rPr>
      <w:color w:val="800080"/>
    </w:rPr>
  </w:style>
  <w:style w:styleId="ColorBlue" w:type="character">
    <w:name w:val="ColorBlue"/>
    <w:basedOn w:val="ColorGray"/>
    <w:qFormat/>
    <w:rPr>
      <w:color w:val="2A6099"/>
    </w:rPr>
  </w:style>
  <w:style w:styleId="ColorBlack" w:type="character">
    <w:name w:val="ColorBlack"/>
    <w:basedOn w:val="ColorBlue"/>
    <w:qFormat/>
    <w:rPr>
      <w:color w:val="000000"/>
    </w:rPr>
  </w:style>
  <w:style w:styleId="EndnoteCharacters" w:type="character">
    <w:name w:val="Endnote Characters"/>
    <w:qFormat/>
    <w:rPr>
      <w:vertAlign w:val="superscript"/>
    </w:rPr>
  </w:style>
  <w:style w:styleId="EndnoteCharactersuser" w:type="character">
    <w:name w:val="Endnote Characters (user)"/>
    <w:qFormat/>
    <w:rPr>
      <w:vertAlign w:val="superscript"/>
    </w:rPr>
  </w:style>
  <w:style w:styleId="EndnoteReference" w:type="character">
    <w:name w:val="endnote reference"/>
    <w:rPr>
      <w:vertAlign w:val="superscript"/>
    </w:rPr>
  </w:style>
  <w:style w:styleId="Heading" w:type="paragraph">
    <w:name w:val="Heading"/>
    <w:basedOn w:val="Normal"/>
    <w:next w:val="BodyText"/>
    <w:qFormat/>
    <w:pPr>
      <w:keepNext w:val="true"/>
      <w:spacing w:after="120" w:before="240"/>
    </w:pPr>
    <w:rPr>
      <w:rFonts w:ascii="Gentium" w:cs="Noto Sans Devanagari" w:eastAsia="Noto Sans CJK SC" w:hAnsi="Gentium"/>
      <w:sz w:val="28"/>
      <w:szCs w:val="28"/>
    </w:rPr>
  </w:style>
  <w:style w:styleId="BodyText" w:type="paragraph">
    <w:name w:val="Body Text"/>
    <w:basedOn w:val="Normal"/>
    <w:link w:val="BodyTextChar"/>
    <w:qFormat/>
    <w:pPr>
      <w:spacing w:after="180" w:before="180" w:line="276" w:lineRule="auto"/>
    </w:pPr>
    <w:rPr>
      <w:rFonts w:ascii="Gentium" w:hAnsi="Gentium"/>
    </w:rPr>
  </w:style>
  <w:style w:styleId="List" w:type="paragraph">
    <w:name w:val="List"/>
    <w:basedOn w:val="BodyText"/>
    <w:pPr/>
    <w:rPr>
      <w:rFonts w:ascii="Gentium" w:cs="Noto Sans Devanagari" w:hAnsi="Gentium"/>
    </w:rPr>
  </w:style>
  <w:style w:styleId="Caption" w:type="paragraph">
    <w:name w:val="caption"/>
    <w:basedOn w:val="Normal"/>
    <w:link w:val="BodyTextChar"/>
    <w:qFormat/>
    <w:pPr>
      <w:spacing w:after="120" w:before="0"/>
    </w:pPr>
    <w:rPr>
      <w:rFonts w:ascii="Gentium" w:hAnsi="Gentium"/>
      <w:i/>
    </w:rPr>
  </w:style>
  <w:style w:styleId="Index" w:type="paragraph">
    <w:name w:val="Index"/>
    <w:basedOn w:val="Normal"/>
    <w:qFormat/>
    <w:pPr>
      <w:suppressLineNumbers/>
    </w:pPr>
    <w:rPr>
      <w:rFonts w:ascii="Gentium" w:cs="Noto Sans Devanagari" w:hAnsi="Gentium"/>
    </w:rPr>
  </w:style>
  <w:style w:customStyle="1" w:styleId="FirstParagraph" w:type="paragraph">
    <w:name w:val="First Paragraph"/>
    <w:basedOn w:val="BodyText"/>
    <w:next w:val="BodyText"/>
    <w:qFormat/>
    <w:pPr>
      <w:spacing w:line="276" w:lineRule="auto"/>
    </w:pPr>
    <w:rPr>
      <w:rFonts w:ascii="Gentium" w:hAnsi="Gentium"/>
    </w:rPr>
  </w:style>
  <w:style w:customStyle="1" w:styleId="Compact" w:type="paragraph">
    <w:name w:val="Compact"/>
    <w:basedOn w:val="BodyText"/>
    <w:qFormat/>
    <w:pPr>
      <w:spacing w:after="36" w:before="36"/>
    </w:pPr>
    <w:rPr/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before="0" w:line="240" w:lineRule="auto"/>
      <w:contextualSpacing/>
      <w:jc w:val="center"/>
    </w:pPr>
    <w:rPr>
      <w:rFonts w:ascii="Gentium" w:cs="" w:cstheme="majorBidi" w:eastAsia="" w:eastAsiaTheme="majorEastAsia" w:hAnsi="Gentium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/>
    <w:rPr>
      <w:rFonts w:cs="" w:cstheme="majorBidi" w:eastAsia="" w:eastAsiaTheme="majorEastAsia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 w:val="true"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 w:val="true"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 w:val="true"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 w:val="true"/>
      <w:keepLines/>
      <w:spacing w:after="300" w:before="100"/>
    </w:pPr>
    <w:rPr>
      <w:rFonts w:ascii="Gentium" w:hAnsi="Gentium"/>
      <w:sz w:val="20"/>
      <w:szCs w:val="20"/>
    </w:rPr>
  </w:style>
  <w:style w:styleId="Bibliography" w:type="paragraph">
    <w:name w:val="Bibliography"/>
    <w:basedOn w:val="Normal"/>
    <w:qFormat/>
    <w:pPr/>
    <w:rPr/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hanging="0" w:left="480" w:right="480"/>
    </w:pPr>
    <w:rPr/>
  </w:style>
  <w:style w:styleId="FootnoteText" w:type="paragraph">
    <w:name w:val="footnote text"/>
    <w:basedOn w:val="Normal"/>
    <w:uiPriority w:val="9"/>
    <w:unhideWhenUsed/>
    <w:qFormat/>
    <w:pPr/>
    <w:rPr>
      <w:rFonts w:ascii="Gentium" w:hAnsi="Gentium"/>
    </w:rPr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hanging="0" w:left="480" w:right="480"/>
    </w:pPr>
    <w:rPr>
      <w:rFonts w:ascii="Gentium" w:hAnsi="Gentium"/>
    </w:rPr>
  </w:style>
  <w:style w:customStyle="1" w:styleId="DefinitionTerm" w:type="paragraph">
    <w:name w:val="Definition Term"/>
    <w:basedOn w:val="Normal"/>
    <w:next w:val="Definition"/>
    <w:qFormat/>
    <w:pPr>
      <w:keepNext w:val="true"/>
      <w:keepLines/>
      <w:spacing w:after="0" w:before="0"/>
    </w:pPr>
    <w:rPr>
      <w:rFonts w:ascii="Gentium" w:hAnsi="Gentium"/>
      <w:b/>
    </w:rPr>
  </w:style>
  <w:style w:customStyle="1" w:styleId="Definition" w:type="paragraph">
    <w:name w:val="Definition"/>
    <w:basedOn w:val="Normal"/>
    <w:qFormat/>
    <w:pPr>
      <w:ind w:left="475"/>
    </w:pPr>
    <w:rPr>
      <w:rFonts w:ascii="Gentium" w:hAnsi="Gentium"/>
    </w:rPr>
  </w:style>
  <w:style w:customStyle="1" w:styleId="TableCaption" w:type="paragraph">
    <w:name w:val="Table Caption"/>
    <w:basedOn w:val="Caption"/>
    <w:qFormat/>
    <w:pPr>
      <w:keepNext w:val="true"/>
    </w:pPr>
    <w:rPr/>
  </w:style>
  <w:style w:customStyle="1" w:styleId="ImageCaption" w:type="paragraph">
    <w:name w:val="Image Caption"/>
    <w:basedOn w:val="Caption"/>
    <w:qFormat/>
    <w:pPr/>
    <w:rPr/>
  </w:style>
  <w:style w:customStyle="1" w:styleId="Figure" w:type="paragraph">
    <w:name w:val="Figure"/>
    <w:basedOn w:val="Normal"/>
    <w:qFormat/>
    <w:pPr/>
    <w:rPr/>
  </w:style>
  <w:style w:customStyle="1" w:styleId="CaptionedFigure" w:type="paragraph">
    <w:name w:val="Captioned Figure"/>
    <w:basedOn w:val="Figure"/>
    <w:qFormat/>
    <w:pPr>
      <w:keepNext w:val="true"/>
    </w:pPr>
    <w:rPr/>
  </w:style>
  <w:style w:styleId="IndexHeading" w:type="paragraph">
    <w:name w:val="index heading"/>
    <w:basedOn w:val="Heading"/>
    <w:pPr/>
    <w:rPr/>
  </w:style>
  <w:style w:styleId="TOCHeading" w:type="paragraph">
    <w:name w:val="TOC Heading"/>
    <w:basedOn w:val="Heading1"/>
    <w:next w:val="BodyText"/>
    <w:uiPriority w:val="39"/>
    <w:unhideWhenUsed/>
    <w:qFormat/>
    <w:pPr>
      <w:spacing w:after="80" w:before="240" w:line="259" w:lineRule="auto"/>
      <w:outlineLvl w:val="9"/>
    </w:pPr>
    <w:rPr>
      <w:rFonts w:ascii="Aptos Display" w:asciiTheme="majorHAnsi" w:cs="" w:cstheme="majorBidi" w:eastAsia="" w:eastAsiaTheme="majorEastAsia" w:hAnsi="Aptos Display" w:hAnsiTheme="majorHAnsi"/>
      <w:b w:val="false"/>
      <w:bCs w:val="false"/>
      <w:color w:themeColor="accent1" w:themeShade="bf" w:val="365F91"/>
    </w:rPr>
  </w:style>
  <w:style w:styleId="Heading10" w:type="paragraph">
    <w:name w:val="Heading 10"/>
    <w:basedOn w:val="Heading"/>
    <w:next w:val="BodyText"/>
    <w:qFormat/>
    <w:pPr>
      <w:numPr>
        <w:ilvl w:val="8"/>
        <w:numId w:val="1"/>
      </w:numPr>
      <w:spacing w:after="60" w:before="60"/>
      <w:outlineLvl w:val="8"/>
    </w:pPr>
    <w:rPr>
      <w:b/>
      <w:bCs/>
      <w:sz w:val="18"/>
      <w:szCs w:val="18"/>
    </w:rPr>
  </w:style>
  <w:style w:styleId="BodyTextIndent" w:type="paragraph">
    <w:name w:val="Body Text Indent"/>
    <w:basedOn w:val="BodyText"/>
    <w:pPr>
      <w:ind w:hanging="0" w:left="283"/>
    </w:pPr>
    <w:rPr/>
  </w:style>
  <w:style w:styleId="BlockQuotationuser" w:type="paragraph">
    <w:name w:val="Block Quotation (user)"/>
    <w:basedOn w:val="Normal"/>
    <w:qFormat/>
    <w:pPr>
      <w:spacing w:after="283" w:before="0"/>
      <w:ind w:hanging="0" w:left="567" w:right="567"/>
    </w:pPr>
    <w:rPr>
      <w:rFonts w:ascii="Gentium" w:hAnsi="Gentium"/>
    </w:rPr>
  </w:style>
  <w:style w:default="1" w:styleId="Table" w:type="table">
    <w:name w:val="Table"/>
    <w:basedOn w:val="TableNormal"/>
    <w:semiHidden/>
    <w:unhideWhenUsed/>
    <w:qFormat/>
    <w:tblPr>
      <w:tblCellMar>
        <w:top w:type="dxa" w:w="0"/>
        <w:left w:type="dxa" w:w="108"/>
        <w:bottom w:type="dxa" w:w="0"/>
        <w:right w:type="dxa" w:w="108"/>
      </w:tblCellMar>
    </w:tblPr>
    <w:tblStylePr w:type="firstRow">
      <w:tblPr/>
      <w:tcPr>
        <w:tcBorders>
          <w:bottom w:val="single"/>
        </w:tcBorders>
        <w:vAlign w:val="bottom"/>
      </w:tcPr>
    </w:tblStyle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https://dharmalekha.info/texts/INSSIIv07p0i0803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https://dharmalekha.info/texts/INSSIIv07p0i0803" TargetMode="External" />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">
      <a:dk1>
        <a:srgbClr val="000000"/>
      </a:dk1>
      <a:lt1>
        <a:srgbClr val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 pitchFamily="0" charset="1"/>
        <a:ea typeface=""/>
        <a:cs typeface=""/>
      </a:majorFont>
      <a:minorFont>
        <a:latin typeface="Aptos" panose="02110004020202020204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45</TotalTime>
  <Application>LibreOffice/26.2.6.3$Linux_X86_64 LibreOffice_project/620$Build-3</Application>
  <AppVersion>15.0000</AppVersion>
  <Pages>2</Pages>
  <Words>60</Words>
  <Characters>366</Characters>
  <CharactersWithSpaces>396</CharactersWithSpaces>
  <Paragraphs>30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Pākūr / Vākūr / Bahur, Tirumūlanātar temple, time of Kaṉṉaradeva, year 22</dc:title>
  <dc:creator>Emmanuel Francis</dc:creator>
  <cp:keywords/>
  <dcterms:created xsi:type="dcterms:W3CDTF">2026-11-06T00:08:59Z</dcterms:created>
  <dcterms:modified xsi:type="dcterms:W3CDTF">2026-11-06T00:08:59Z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