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Pākūr / Vākūr / Bahur, Tirumūlanātar temple, time of Kaṉṉaradeva, year 19</w:t>
      </w:r>
    </w:p>
    <w:p>
      <w:pPr>
        <w:pStyle w:val="Author"/>
      </w:pPr>
      <w:r>
        <w:t xml:space="preserve">Emmanuel Francis</w:t>
      </w:r>
    </w:p>
    <w:p>
      <w:pPr>
        <w:pStyle w:val="FirstParagraph"/>
      </w:pPr>
      <w:r>
        <w:t xml:space="preserve">Author of digital edition: Emmanuel Francis</w:t>
      </w:r>
    </w:p>
    <w:p>
      <w:pPr>
        <w:pStyle w:val="BodyText"/>
      </w:pPr>
      <w:r>
        <w:t xml:space="preserve">Identifier: DHARMA_INSPondicherry00001</w:t>
      </w:r>
    </w:p>
    <w:p>
      <w:pPr>
        <w:pStyle w:val="BodyText"/>
      </w:pPr>
      <w:r>
        <w:t xml:space="preserve">Repository: Pondicherry (tfa-pondicherry-epigraphy)</w:t>
      </w:r>
    </w:p>
    <w:p>
      <w:pPr>
        <w:pStyle w:val="BodyText"/>
      </w:pPr>
      <w:r>
        <w:t xml:space="preserve">File path: DHARMA_INSPondicherry00001.xml</w:t>
      </w:r>
    </w:p>
    <w:p>
      <w:pPr>
        <w:pStyle w:val="BodyText"/>
      </w:pPr>
      <w:r>
        <w:t xml:space="preserve">Language: Tamil [Grantha, Tamil]</w:t>
      </w:r>
    </w:p>
    <w:p>
      <w:pPr>
        <w:pStyle w:val="BodyText"/>
      </w:pPr>
      <w:r>
        <w:t xml:space="preserve">Commit: 2026-11-04 20:32 (e2dd903), last modified 2026-10-27 14:35 (c380055)</w:t>
      </w:r>
    </w:p>
    <w:p>
      <w:pPr>
        <w:pStyle w:val="Heading1"/>
      </w:pPr>
      <w:r>
        <w:t xml:space="preserve">Summary</w:t>
      </w:r>
    </w:p>
    <w:p>
      <w:pPr>
        <w:pStyle w:val="FirstParagraph"/>
      </w:pPr>
      <w:r>
        <w:rPr>
          <w:i/>
          <w:iCs/>
        </w:rPr>
        <w:t xml:space="preserve">Ardhamaṇḍapa</w:t>
      </w:r>
      <w:r>
        <w:t xml:space="preserve">, east wall. Kaṉṉaradeva = Kṛṣṇa III Rāṣṭrakūṭa, RY 19 = 958 CE.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rPr>
          <w:rStyle w:val="ColorGray"/>
        </w:rPr>
        <w:t xml:space="preserve"> </w:t>
      </w:r>
      <w:r>
        <w:rPr>
          <w:rStyle w:val="ColorGray"/>
        </w:rPr>
        <w:t xml:space="preserve">⟨1⟩</w:t>
      </w:r>
      <w:r>
        <w:rPr>
          <w:rStyle w:val="ColorGray"/>
        </w:rPr>
        <w:t xml:space="preserve"> </w:t>
      </w:r>
      <w:r>
        <w:rPr>
          <w:b/>
          <w:bCs/>
        </w:rPr>
        <w:t xml:space="preserve">svasti śrī</w:t>
      </w:r>
    </w:p>
    <w:p>
      <w:pPr>
        <w:pStyle w:val="BodyText"/>
      </w:pPr>
      <w:r>
        <w:rPr>
          <w:b/>
          <w:bCs/>
        </w:rPr>
        <w:t xml:space="preserve">śrī</w:t>
      </w:r>
      <w:r>
        <w:t xml:space="preserve">-kaṉṉāra-tēvarkku yā</w:t>
      </w:r>
      <w:r>
        <w:rPr>
          <w:rStyle w:val="ColorGray"/>
        </w:rPr>
        <w:t xml:space="preserve">⟨2⟩</w:t>
      </w:r>
      <w:r>
        <w:t xml:space="preserve">ṇṭu patt’ oṉpat-āvatu</w:t>
      </w:r>
    </w:p>
    <w:p>
      <w:pPr>
        <w:pStyle w:val="BodyText"/>
      </w:pPr>
      <w:r>
        <w:t xml:space="preserve">vākūr</w:t>
      </w:r>
      <w:r>
        <w:t xml:space="preserve"> </w:t>
      </w:r>
      <w:r>
        <w:rPr>
          <w:b/>
          <w:bCs/>
        </w:rPr>
        <w:t xml:space="preserve">śrī</w:t>
      </w:r>
      <w:r>
        <w:t xml:space="preserve">-m</w:t>
      </w:r>
      <w:r>
        <w:rPr>
          <w:rStyle w:val="ColorMagenta"/>
        </w:rPr>
        <w:t xml:space="preserve">¡u!</w:t>
      </w:r>
      <w:r>
        <w:rPr>
          <w:rStyle w:val="ColorBlue"/>
        </w:rPr>
        <w:t xml:space="preserve">⟨ū⟩</w:t>
      </w:r>
      <w:r>
        <w:t xml:space="preserve">la</w:t>
      </w:r>
      <w:r>
        <w:rPr>
          <w:b/>
          <w:bCs/>
        </w:rPr>
        <w:t xml:space="preserve">s</w:t>
      </w:r>
      <w:r>
        <w:rPr>
          <w:rStyle w:val="ColorMagenta"/>
          <w:b/>
          <w:bCs/>
        </w:rPr>
        <w:t xml:space="preserve">¡t!</w:t>
      </w:r>
      <w:r>
        <w:rPr>
          <w:rStyle w:val="ColorBlue"/>
          <w:b/>
          <w:bCs/>
        </w:rPr>
        <w:t xml:space="preserve">⟨th⟩</w:t>
      </w:r>
      <w:r>
        <w:rPr>
          <w:b/>
          <w:bCs/>
        </w:rPr>
        <w:t xml:space="preserve">ā</w:t>
      </w:r>
      <w:r>
        <w:rPr>
          <w:rStyle w:val="ColorGray"/>
        </w:rPr>
        <w:t xml:space="preserve">⟨3⟩</w:t>
      </w:r>
      <w:r>
        <w:t xml:space="preserve">ṉattu</w:t>
      </w:r>
      <w:r>
        <w:t xml:space="preserve"> </w:t>
      </w:r>
      <w:r>
        <w:rPr>
          <w:b/>
          <w:bCs/>
        </w:rPr>
        <w:t xml:space="preserve">mahāde</w:t>
      </w:r>
      <w:r>
        <w:t xml:space="preserve">varkku Iṟai-p-puṇai-c-cēriyu</w:t>
      </w:r>
      <w:r>
        <w:rPr>
          <w:rStyle w:val="ColorGray"/>
        </w:rPr>
        <w:t xml:space="preserve">⟨4⟩</w:t>
      </w:r>
      <w:r>
        <w:t xml:space="preserve">ṭaiyāṉ vāṭṭuḻati nānūṟṟuva</w:t>
      </w:r>
      <w:r>
        <w:rPr>
          <w:rStyle w:val="ColorMagenta"/>
        </w:rPr>
        <w:t xml:space="preserve">¡n!</w:t>
      </w:r>
      <w:r>
        <w:rPr>
          <w:rStyle w:val="ColorBlue"/>
        </w:rPr>
        <w:t xml:space="preserve">⟨ṉ⟩</w:t>
      </w:r>
      <w:r>
        <w:t xml:space="preserve">-ākiya mummu</w:t>
      </w:r>
      <w:r>
        <w:rPr>
          <w:rStyle w:val="ColorGray"/>
        </w:rPr>
        <w:t xml:space="preserve">⟨5⟩</w:t>
      </w:r>
      <w:r>
        <w:t xml:space="preserve">ṭi-c-cōḻa-p-pallavaraiyaṉ ca</w:t>
      </w:r>
      <w:r>
        <w:rPr>
          <w:rStyle w:val="ColorMagenta"/>
        </w:rPr>
        <w:t xml:space="preserve">¡ṉ!</w:t>
      </w:r>
      <w:r>
        <w:rPr>
          <w:rStyle w:val="ColorBlue"/>
        </w:rPr>
        <w:t xml:space="preserve">⟨n⟩</w:t>
      </w:r>
      <w:r>
        <w:t xml:space="preserve">tirātitta</w:t>
      </w:r>
      <w:r>
        <w:rPr>
          <w:rStyle w:val="ColorGray"/>
        </w:rPr>
        <w:t xml:space="preserve">⟨6⟩</w:t>
      </w:r>
      <w:r>
        <w:t xml:space="preserve">val vaytta na</w:t>
      </w:r>
      <w:r>
        <w:rPr>
          <w:rStyle w:val="ColorMagenta"/>
        </w:rPr>
        <w:t xml:space="preserve">¡ṉ!</w:t>
      </w:r>
      <w:r>
        <w:rPr>
          <w:rStyle w:val="ColorBlue"/>
        </w:rPr>
        <w:t xml:space="preserve">⟨n⟩</w:t>
      </w:r>
      <w:r>
        <w:t xml:space="preserve">tā-vilakk’ oṉṟiṉukku</w:t>
      </w:r>
      <w:r>
        <w:t xml:space="preserve"> </w:t>
      </w:r>
      <w:r>
        <w:rPr>
          <w:b/>
          <w:bCs/>
        </w:rPr>
        <w:t xml:space="preserve">vai</w:t>
      </w:r>
      <w:r>
        <w:t xml:space="preserve">t</w:t>
      </w:r>
      <w:r>
        <w:rPr>
          <w:rStyle w:val="ColorGray"/>
        </w:rPr>
        <w:t xml:space="preserve">⟨7⟩</w:t>
      </w:r>
      <w:r>
        <w:t xml:space="preserve">ta cāvā m</w:t>
      </w:r>
      <w:r>
        <w:rPr>
          <w:rStyle w:val="ColorMagenta"/>
        </w:rPr>
        <w:t xml:space="preserve">¡u!</w:t>
      </w:r>
      <w:r>
        <w:rPr>
          <w:rStyle w:val="ColorBlue"/>
        </w:rPr>
        <w:t xml:space="preserve">⟨ū⟩</w:t>
      </w:r>
      <w:r>
        <w:t xml:space="preserve">vā pēr-āṭu toṇṇūṟu</w:t>
      </w:r>
    </w:p>
    <w:p>
      <w:pPr>
        <w:pStyle w:val="BodyText"/>
      </w:pPr>
      <w:r>
        <w:t xml:space="preserve">Ivai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⟨8⟩</w:t>
      </w:r>
      <w:r>
        <w:rPr>
          <w:rStyle w:val="ColorGray"/>
        </w:rPr>
        <w:t xml:space="preserve"> </w:t>
      </w:r>
      <w:r>
        <w:rPr>
          <w:b/>
          <w:bCs/>
        </w:rPr>
        <w:t xml:space="preserve">panmāheśvarar·</w:t>
      </w:r>
      <w:r>
        <w:t xml:space="preserve"> </w:t>
      </w:r>
      <w:r>
        <w:t xml:space="preserve">I</w:t>
      </w:r>
      <w:r>
        <w:rPr>
          <w:b/>
          <w:bCs/>
        </w:rPr>
        <w:t xml:space="preserve">rakṣai</w:t>
      </w:r>
    </w:p>
    <w:p>
      <w:pPr>
        <w:pStyle w:val="Heading1"/>
      </w:pPr>
      <w:r>
        <w:t xml:space="preserve">Translation by Kuppusamy &amp; Vijayavenugopal 2010</w:t>
      </w:r>
    </w:p>
    <w:p>
      <w:pPr>
        <w:pStyle w:val="FirstParagraph"/>
      </w:pPr>
      <w:r>
        <w:rPr>
          <w:rStyle w:val="ColorGray"/>
        </w:rPr>
        <w:t xml:space="preserve">⟨1⟩</w:t>
      </w:r>
      <w:r>
        <w:t xml:space="preserve"> </w:t>
      </w:r>
      <w:r>
        <w:t xml:space="preserve">Hail! Prosperity!</w:t>
      </w:r>
    </w:p>
    <w:p>
      <w:pPr>
        <w:pStyle w:val="BodyText"/>
      </w:pPr>
      <w:r>
        <w:rPr>
          <w:rStyle w:val="ColorGray"/>
        </w:rPr>
        <w:t xml:space="preserve">⟨1–2⟩</w:t>
      </w:r>
      <w:r>
        <w:t xml:space="preserve"> </w:t>
      </w:r>
      <w:r>
        <w:t xml:space="preserve">Year nineteen ⟨of the reign⟩ of śrī-Kaṉṉara-tēvar.</w:t>
      </w:r>
    </w:p>
    <w:p>
      <w:pPr>
        <w:pStyle w:val="BodyText"/>
      </w:pPr>
      <w:r>
        <w:rPr>
          <w:rStyle w:val="ColorGray"/>
        </w:rPr>
        <w:t xml:space="preserve">⟨2–7⟩</w:t>
      </w:r>
      <w:r>
        <w:t xml:space="preserve"> </w:t>
      </w:r>
      <w:r>
        <w:t xml:space="preserve">The never dying and never ageing sheep donated by Vāṭṭuḻati Nāṉūṟṟuvaṉ alias Mummuṭi-c-cōḻa-p-pallavaraiyaṉ of Iṟaippuṇai-c-cēri for a perpetual lamp to the great Lord of śrī-Mūlastāṉam of Vākūr, as long as the moon and the sun will last, are ninety.</w:t>
      </w:r>
    </w:p>
    <w:p>
      <w:pPr>
        <w:pStyle w:val="BodyText"/>
      </w:pPr>
      <w:r>
        <w:rPr>
          <w:rStyle w:val="ColorGray"/>
        </w:rPr>
        <w:t xml:space="preserve">⟨7–8⟩</w:t>
      </w:r>
      <w:r>
        <w:t xml:space="preserve"> </w:t>
      </w:r>
      <w:r>
        <w:t xml:space="preserve">These are under the protection of the great Śaiva devotees (Māheśvaras).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r>
        <w:t xml:space="preserve">Not reported in ARIE?</w:t>
      </w:r>
    </w:p>
    <w:p>
      <w:pPr>
        <w:pStyle w:val="BodyText"/>
      </w:pPr>
      <w:r>
        <w:t xml:space="preserve">Edited in Kuppusamy &amp; Vijayavenugopal 2006 (PI 1) and translated in Kuppusamy &amp; Vijayavenugopal 2010 (PI 1).</w:t>
      </w:r>
    </w:p>
    <w:p>
      <w:pPr>
        <w:pStyle w:val="BodyText"/>
      </w:pPr>
      <w:r>
        <w:t xml:space="preserve">This digital edition by Emmanuel Francis, based on Kuppusamy &amp; Vijayavenugopal 2006. This translation adapted from Kuppusamy &amp; Vijayavenugopal 2010 (PI 1).</w:t>
      </w:r>
    </w:p>
    <w:p>
      <w:pPr>
        <w:pStyle w:val="Heading2"/>
      </w:pPr>
      <w:r>
        <w:t xml:space="preserve">Primary</w:t>
      </w:r>
    </w:p>
    <w:p>
      <w:pPr>
        <w:pStyle w:val="FirstParagraph"/>
      </w:pPr>
      <w:r>
        <w:rPr>
          <w:b/>
          <w:bCs/>
        </w:rPr>
        <w:t xml:space="preserve">[PI]</w:t>
      </w:r>
      <w:r>
        <w:t xml:space="preserve"> </w:t>
      </w:r>
      <w:r>
        <w:t xml:space="preserve">Kuppusamy, Bahour S. &amp; G. Vijayavenugopal. 2006.</w:t>
      </w:r>
      <w:r>
        <w:t xml:space="preserve"> </w:t>
      </w:r>
      <w:r>
        <w:rPr>
          <w:i/>
          <w:iCs/>
        </w:rPr>
        <w:t xml:space="preserve">Pondicherry inscriptions. Part I: Introduction and texts with notes = Putuccēri mānilak kalveṭṭukkaḷ</w:t>
      </w:r>
      <w:r>
        <w:t xml:space="preserve">. Pondichéry: Ecole française d’Extrême-Orient; Institut français de Pondichéry. Page 1, item 1.</w:t>
      </w:r>
    </w:p>
    <w:p>
      <w:pPr>
        <w:pStyle w:val="BodyText"/>
      </w:pPr>
      <w:r>
        <w:rPr>
          <w:b/>
          <w:bCs/>
        </w:rPr>
        <w:t xml:space="preserve">[PI]</w:t>
      </w:r>
      <w:r>
        <w:t xml:space="preserve"> </w:t>
      </w:r>
      <w:r>
        <w:t xml:space="preserve">Kuppusamy, Bahour S. &amp; G. Vijayavenugopal. 2010.</w:t>
      </w:r>
      <w:r>
        <w:t xml:space="preserve"> </w:t>
      </w:r>
      <w:r>
        <w:rPr>
          <w:i/>
          <w:iCs/>
        </w:rPr>
        <w:t xml:space="preserve">Pondicherry inscriptions. Part II: Translation, appendices, glossary and phrases, [and] preface = Putuccēri mānilak kalveṭṭukkaḷ</w:t>
      </w:r>
      <w:r>
        <w:t xml:space="preserve">. Pondichéry: Ecole française d’Extrême-Orient; Institut français de Pondichéry. Page 1, item 1.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Pākūr / Vākūr / Bahur, Tirumūlanātar temple, time of Kaṉṉaradeva, year 19</dc:title>
  <dc:creator>Emmanuel Francis</dc:creator>
  <cp:keywords/>
  <dcterms:created xsi:type="dcterms:W3CDTF">2026-11-06T00:10:03Z</dcterms:created>
  <dcterms:modified xsi:type="dcterms:W3CDTF">2026-11-06T00:10:03Z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