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Tiruveḷḷaṟai, Jambunāthasvāmin temple, time of Māṟaṉ Caṭaiyaṉ, year 4 + 9</w:t>
      </w:r>
    </w:p>
    <w:p>
      <w:pPr>
        <w:pStyle w:val="Author"/>
      </w:pPr>
      <w:r>
        <w:t xml:space="preserve">Valérie Gillet and Emmanuel Francis</w:t>
      </w:r>
    </w:p>
    <w:p>
      <w:pPr>
        <w:pStyle w:val="FirstParagraph"/>
      </w:pPr>
      <w:r>
        <w:t xml:space="preserve">Authors of digital edition: Valérie Gillet, Emmanuel Francis</w:t>
      </w:r>
    </w:p>
    <w:p>
      <w:pPr>
        <w:pStyle w:val="BodyText"/>
      </w:pPr>
      <w:r>
        <w:t xml:space="preserve">Identifier: DHARMA_INSPandya00012</w:t>
      </w:r>
    </w:p>
    <w:p>
      <w:pPr>
        <w:pStyle w:val="BodyText"/>
      </w:pPr>
      <w:r>
        <w:t xml:space="preserve">Repository: Pāṇḍya (tfa-pandya-epigraphy)</w:t>
      </w:r>
    </w:p>
    <w:p>
      <w:pPr>
        <w:pStyle w:val="BodyText"/>
      </w:pPr>
      <w:r>
        <w:t xml:space="preserve">File path: DHARMA_INSPandya00012.xml</w:t>
      </w:r>
    </w:p>
    <w:p>
      <w:pPr>
        <w:pStyle w:val="BodyText"/>
      </w:pPr>
      <w:r>
        <w:t xml:space="preserve">Language: Tamil [Grantha, Tamil]</w:t>
      </w:r>
    </w:p>
    <w:p>
      <w:pPr>
        <w:pStyle w:val="BodyText"/>
      </w:pPr>
      <w:r>
        <w:t xml:space="preserve">Commit: 2026-10-01 13:11 (562e33f), last modified 2026-09-29 11:09 (e2e7d8a)</w:t>
      </w:r>
    </w:p>
    <w:p>
      <w:pPr>
        <w:pStyle w:val="Heading1"/>
      </w:pPr>
      <w:r>
        <w:t xml:space="preserve">Summary</w:t>
      </w:r>
    </w:p>
    <w:p>
      <w:pPr>
        <w:pStyle w:val="FirstParagraph"/>
      </w:pPr>
      <w:r>
        <w:t xml:space="preserve">Jambunāthasvāmin temple, Tiruveḷḷaṟai, Maṇṇaccanallūr taluk, Trichy district. On the rock in front of the cave temple. Valérie Gillet could not locate the inscription which seems to have disappeared, perhaps under recent cement additions.</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rPr>
          <w:b/>
          <w:bCs/>
        </w:rPr>
        <w:t xml:space="preserve">svasti śrī</w:t>
      </w:r>
    </w:p>
    <w:p>
      <w:pPr>
        <w:pStyle w:val="BodyText"/>
      </w:pPr>
      <w:r>
        <w:t xml:space="preserve">kō-māṟañ caṭaiyaṟku yāṇṭu nāl-ā</w:t>
      </w:r>
      <w:r>
        <w:rPr>
          <w:rStyle w:val="ColorGray"/>
        </w:rPr>
        <w:t xml:space="preserve">⟨2⟩</w:t>
      </w:r>
      <w:r>
        <w:t xml:space="preserve">vataṟk’ etir Oṉpat-āvatu</w:t>
      </w:r>
    </w:p>
    <w:p>
      <w:pPr>
        <w:pStyle w:val="BodyText"/>
      </w:pPr>
      <w:r>
        <w:rPr>
          <w:b/>
          <w:bCs/>
        </w:rPr>
        <w:t xml:space="preserve">vr̥ścika</w:t>
      </w:r>
      <w:r>
        <w:t xml:space="preserve">-ñāIṟṟu ti</w:t>
      </w:r>
      <w:r>
        <w:rPr>
          <w:rStyle w:val="ColorGray"/>
        </w:rPr>
        <w:t xml:space="preserve">⟨3⟩</w:t>
      </w:r>
      <w:r>
        <w:t xml:space="preserve">ṅkaṭ-kiḻamai peṟṟa A</w:t>
      </w:r>
      <w:r>
        <w:rPr>
          <w:b/>
          <w:bCs/>
        </w:rPr>
        <w:t xml:space="preserve">śvati</w:t>
      </w:r>
      <w:r>
        <w:t xml:space="preserve"> </w:t>
      </w:r>
      <w:r>
        <w:t xml:space="preserve">mutal-āka tēvatāṉan ti</w:t>
      </w:r>
      <w:r>
        <w:rPr>
          <w:rStyle w:val="ColorGray"/>
        </w:rPr>
        <w:t xml:space="preserve">⟨4⟩</w:t>
      </w:r>
      <w:r>
        <w:t xml:space="preserve">ru-veḷḷaṟai-t tiruvāṉaikkaṟ perumāṉaṭika</w:t>
      </w:r>
      <w:r>
        <w:rPr>
          <w:rStyle w:val="ColorGray"/>
        </w:rPr>
        <w:t xml:space="preserve">⟨5⟩</w:t>
      </w:r>
      <w:r>
        <w:t xml:space="preserve">ḷukku pāṇṭi-mārācar-āIṉa kō-mārañ caṭai</w:t>
      </w:r>
      <w:r>
        <w:rPr>
          <w:rStyle w:val="ColorGray"/>
        </w:rPr>
        <w:t xml:space="preserve">⟨6⟩</w:t>
      </w:r>
      <w:r>
        <w:t xml:space="preserve">yaṉ y-iraṇṭu nontā-viḷakk’ iravum paka</w:t>
      </w:r>
      <w:r>
        <w:rPr>
          <w:rStyle w:val="ColorGray"/>
        </w:rPr>
        <w:t xml:space="preserve">⟨7⟩</w:t>
      </w:r>
      <w:r>
        <w:t xml:space="preserve">lum erikka Aṇṭanāṭṭu vēḷāṉ kaiy</w:t>
      </w:r>
      <w:r>
        <w:rPr>
          <w:rStyle w:val="ColorGray"/>
        </w:rPr>
        <w:t xml:space="preserve">⟨8⟩</w:t>
      </w:r>
      <w:r>
        <w:t xml:space="preserve">yil viṭutta poṉ nūṟṟ’ irupatiṉ kaḻa</w:t>
      </w:r>
      <w:r>
        <w:rPr>
          <w:rStyle w:val="ColorGray"/>
        </w:rPr>
        <w:t xml:space="preserve">⟨9⟩</w:t>
      </w:r>
      <w:r>
        <w:t xml:space="preserve">ñcu</w:t>
      </w:r>
    </w:p>
    <w:p>
      <w:pPr>
        <w:pStyle w:val="BodyText"/>
      </w:pPr>
      <w:r>
        <w:t xml:space="preserve">Ip-poṉ mutal keṭāmai poliyāl</w:t>
      </w:r>
      <w:r>
        <w:rPr>
          <w:rStyle w:val="ColorGray"/>
        </w:rPr>
        <w:t xml:space="preserve"> </w:t>
      </w:r>
      <w:r>
        <w:rPr>
          <w:rStyle w:val="ColorGray"/>
        </w:rPr>
        <w:t xml:space="preserve">⟨10⟩</w:t>
      </w:r>
      <w:r>
        <w:rPr>
          <w:rStyle w:val="ColorGray"/>
        </w:rPr>
        <w:t xml:space="preserve"> </w:t>
      </w:r>
      <w:r>
        <w:t xml:space="preserve">(nārāca)nāḻiyāl Iru-nāḻi ney Erippō</w:t>
      </w:r>
      <w:r>
        <w:rPr>
          <w:rStyle w:val="ColorGray"/>
        </w:rPr>
        <w:t xml:space="preserve">⟨11⟩</w:t>
      </w:r>
      <w:r>
        <w:t xml:space="preserve">m āIṉōm mulaparuṭaiyōm</w:t>
      </w:r>
    </w:p>
    <w:p>
      <w:pPr>
        <w:pStyle w:val="Heading1"/>
      </w:pPr>
      <w:r>
        <w:t xml:space="preserve">Translation by Gillet 2017</w:t>
      </w:r>
    </w:p>
    <w:p>
      <w:pPr>
        <w:pStyle w:val="FirstParagraph"/>
      </w:pPr>
      <w:r>
        <w:t xml:space="preserve">Hail! Prosperity! This is the 9th year opposite the 4th year of king Māṟañcaṭaiyaṉ. From (</w:t>
      </w:r>
      <w:r>
        <w:rPr>
          <w:i/>
          <w:iCs/>
        </w:rPr>
        <w:t xml:space="preserve">mutal āka</w:t>
      </w:r>
      <w:r>
        <w:t xml:space="preserve">)</w:t>
      </w:r>
      <w:r>
        <w:t xml:space="preserve"> </w:t>
      </w:r>
      <w:r>
        <w:rPr>
          <w:i/>
          <w:iCs/>
        </w:rPr>
        <w:t xml:space="preserve">aśvati</w:t>
      </w:r>
      <w:r>
        <w:t xml:space="preserve"> </w:t>
      </w:r>
      <w:r>
        <w:t xml:space="preserve">obtained on Monday in the month of</w:t>
      </w:r>
      <w:r>
        <w:t xml:space="preserve"> </w:t>
      </w:r>
      <w:r>
        <w:rPr>
          <w:i/>
          <w:iCs/>
        </w:rPr>
        <w:t xml:space="preserve">vr̥ścika</w:t>
      </w:r>
      <w:r>
        <w:t xml:space="preserve">, for Tiruvāṉaikkaṉ Perumānaṭikaḷ of the</w:t>
      </w:r>
      <w:r>
        <w:t xml:space="preserve"> </w:t>
      </w:r>
      <w:r>
        <w:rPr>
          <w:i/>
          <w:iCs/>
        </w:rPr>
        <w:t xml:space="preserve">devadāna</w:t>
      </w:r>
      <w:r>
        <w:t xml:space="preserve"> </w:t>
      </w:r>
      <w:r>
        <w:t xml:space="preserve">Tiruveḷḷaṟai, Pāṇṭi Mahāraja</w:t>
      </w:r>
      <w:r>
        <w:t xml:space="preserve"> </w:t>
      </w:r>
      <w:r>
        <w:rPr>
          <w:i/>
          <w:iCs/>
        </w:rPr>
        <w:t xml:space="preserve">alias</w:t>
      </w:r>
      <w:r>
        <w:t xml:space="preserve"> </w:t>
      </w:r>
      <w:r>
        <w:t xml:space="preserve">king (</w:t>
      </w:r>
      <w:r>
        <w:rPr>
          <w:i/>
          <w:iCs/>
        </w:rPr>
        <w:t xml:space="preserve">kō</w:t>
      </w:r>
      <w:r>
        <w:t xml:space="preserve">) Māṟañcaṭaiyaṉ, for burning (</w:t>
      </w:r>
      <w:r>
        <w:rPr>
          <w:i/>
          <w:iCs/>
        </w:rPr>
        <w:t xml:space="preserve">erikka</w:t>
      </w:r>
      <w:r>
        <w:t xml:space="preserve">) two perpetual lamps night and day, sent (</w:t>
      </w:r>
      <w:r>
        <w:rPr>
          <w:i/>
          <w:iCs/>
        </w:rPr>
        <w:t xml:space="preserve">viṭutta</w:t>
      </w:r>
      <w:r>
        <w:t xml:space="preserve">) into the hands (</w:t>
      </w:r>
      <w:r>
        <w:rPr>
          <w:i/>
          <w:iCs/>
        </w:rPr>
        <w:t xml:space="preserve">kayyil</w:t>
      </w:r>
      <w:r>
        <w:t xml:space="preserve">) of Aṇṭanāṭṭu Vēḷāṉ 120</w:t>
      </w:r>
      <w:r>
        <w:t xml:space="preserve"> </w:t>
      </w:r>
      <w:r>
        <w:rPr>
          <w:i/>
          <w:iCs/>
        </w:rPr>
        <w:t xml:space="preserve">kaḻañcu</w:t>
      </w:r>
      <w:r>
        <w:t xml:space="preserve">s of gold; with the interests without diminishing the capital of this gold, we, the Mūlaparuṭai, will burn (</w:t>
      </w:r>
      <w:r>
        <w:rPr>
          <w:i/>
          <w:iCs/>
        </w:rPr>
        <w:t xml:space="preserve">erippōmāiṉōm</w:t>
      </w:r>
      <w:r>
        <w:t xml:space="preserve">) 2</w:t>
      </w:r>
      <w:r>
        <w:t xml:space="preserve"> </w:t>
      </w:r>
      <w:r>
        <w:rPr>
          <w:i/>
          <w:iCs/>
        </w:rPr>
        <w:t xml:space="preserve">nāḻi</w:t>
      </w:r>
      <w:r>
        <w:t xml:space="preserve">s of ghee by the</w:t>
      </w:r>
      <w:r>
        <w:t xml:space="preserve"> </w:t>
      </w:r>
      <w:r>
        <w:rPr>
          <w:i/>
          <w:iCs/>
        </w:rPr>
        <w:t xml:space="preserve">nārācanāḻi</w:t>
      </w:r>
      <w:r>
        <w:t xml:space="preserve"> </w:t>
      </w:r>
      <w:r>
        <w:t xml:space="preserve">(measure).</w:t>
      </w:r>
    </w:p>
    <w:p>
      <w:pPr>
        <w:pStyle w:val="Heading1"/>
      </w:pPr>
      <w:r>
        <w:t xml:space="preserve">Bibliography</w:t>
      </w:r>
    </w:p>
    <w:p>
      <w:pPr>
        <w:pStyle w:val="FirstParagraph"/>
      </w:pPr>
      <w:r>
        <w:t xml:space="preserve">Reported in ARIE 1909–10 (ARIE/1909-1910/C/1910/84), in Mahalingam 1991 (Tp 489).</w:t>
      </w:r>
    </w:p>
    <w:p>
      <w:pPr>
        <w:pStyle w:val="BodyText"/>
      </w:pPr>
      <w:r>
        <w:t xml:space="preserve">Edited in by Ramanatha Ayyar 1962 (</w:t>
      </w:r>
      <w:hyperlink r:id="rId9">
        <w:r>
          <w:rPr>
            <w:rStyle w:val="Hyperlink"/>
          </w:rPr>
          <w:t xml:space="preserve">SII 14.12</w:t>
        </w:r>
      </w:hyperlink>
      <w:r>
        <w:t xml:space="preserve">). Text in Krishnan 2002 (IEP 39). Edited and translated in Gillet 2017, based on Ramanatha Ayyar 1962.</w:t>
      </w:r>
    </w:p>
    <w:p>
      <w:pPr>
        <w:pStyle w:val="BodyText"/>
      </w:pPr>
      <w:r>
        <w:t xml:space="preserve">This revised edition by Valérie Gillet and Emmanuel Francis.</w:t>
      </w:r>
    </w:p>
    <w:p>
      <w:pPr>
        <w:pStyle w:val="Heading2"/>
      </w:pPr>
      <w:r>
        <w:t xml:space="preserve">Primary</w:t>
      </w:r>
    </w:p>
    <w:p>
      <w:pPr>
        <w:pStyle w:val="FirstParagraph"/>
      </w:pPr>
      <w:r>
        <w:rPr>
          <w:b/>
          <w:bCs/>
        </w:rPr>
        <w:t xml:space="preserve">[SII]</w:t>
      </w:r>
      <w:r>
        <w:t xml:space="preserve"> </w:t>
      </w:r>
      <w:r>
        <w:t xml:space="preserve">Ramanatha Ayyar, A. S. 1962.</w:t>
      </w:r>
      <w:r>
        <w:t xml:space="preserve"> </w:t>
      </w:r>
      <w:r>
        <w:rPr>
          <w:i/>
          <w:iCs/>
        </w:rPr>
        <w:t xml:space="preserve">South Indian inscriptions. Volume XIV: The Pāṇḍyas</w:t>
      </w:r>
      <w:r>
        <w:t xml:space="preserve">. South Indian Inscriptions 14. Delhi: Archaeological survey of India (Manager of Publications). Pages 7–8, item 12.</w:t>
      </w:r>
    </w:p>
    <w:p>
      <w:pPr>
        <w:pStyle w:val="BodyText"/>
      </w:pPr>
      <w:r>
        <w:rPr>
          <w:b/>
          <w:bCs/>
        </w:rPr>
        <w:t xml:space="preserve">[IEP]</w:t>
      </w:r>
      <w:r>
        <w:t xml:space="preserve"> </w:t>
      </w:r>
      <w:r>
        <w:t xml:space="preserve">Krishnan, K. G. 2002.</w:t>
      </w:r>
      <w:r>
        <w:t xml:space="preserve"> </w:t>
      </w:r>
      <w:r>
        <w:rPr>
          <w:i/>
          <w:iCs/>
        </w:rPr>
        <w:t xml:space="preserve">Inscriptions of the early Pāṇḍyas (from c. 300 B.C. to 984 A.D.)</w:t>
      </w:r>
      <w:r>
        <w:t xml:space="preserve"> </w:t>
      </w:r>
      <w:r>
        <w:t xml:space="preserve">New Delhi: ICHR &amp; Northern Book Centre. Page TBC, item 39.</w:t>
      </w:r>
    </w:p>
    <w:p>
      <w:pPr>
        <w:pStyle w:val="BodyText"/>
      </w:pPr>
      <w:r>
        <w:rPr>
          <w:b/>
          <w:bCs/>
        </w:rPr>
        <w:t xml:space="preserve">[G]</w:t>
      </w:r>
      <w:r>
        <w:t xml:space="preserve"> </w:t>
      </w:r>
      <w:r>
        <w:t xml:space="preserve">Gillet, Valérie. 2017. “Devotion and Dominion: Ninth-Century Donations of a Pāṇḍyan King in Temples along the River Kāvēri.” IIJ 60 (3), pp. 219–283. DOI:</w:t>
      </w:r>
      <w:r>
        <w:t xml:space="preserve"> </w:t>
      </w:r>
      <w:hyperlink r:id="rId10">
        <w:r>
          <w:rPr>
            <w:rStyle w:val="Hyperlink"/>
          </w:rPr>
          <w:t xml:space="preserve">10.1163/15728536-06003002</w:t>
        </w:r>
      </w:hyperlink>
      <w:r>
        <w:t xml:space="preserve">.</w:t>
      </w:r>
      <w:r>
        <w:t xml:space="preserve"> </w:t>
      </w:r>
      <w:hyperlink r:id="rId11">
        <w:r>
          <w:rPr>
            <w:rStyle w:val="Hyperlink"/>
          </w:rPr>
          <w:t xml:space="preserve">[URL]</w:t>
        </w:r>
      </w:hyperlink>
      <w:r>
        <w:t xml:space="preserve">. Pages 256–257, item 5.</w:t>
      </w:r>
    </w:p>
    <w:p>
      <w:pPr>
        <w:pStyle w:val="Heading2"/>
      </w:pPr>
      <w:r>
        <w:t xml:space="preserve">Secondary</w:t>
      </w:r>
    </w:p>
    <w:p>
      <w:pPr>
        <w:pStyle w:val="FirstParagraph"/>
      </w:pPr>
      <w:r>
        <w:t xml:space="preserve">ARIE 1909–10.</w:t>
      </w:r>
      <w:r>
        <w:t xml:space="preserve"> </w:t>
      </w:r>
      <w:r>
        <w:rPr>
          <w:i/>
          <w:iCs/>
        </w:rPr>
        <w:t xml:space="preserve">G.O. No. 665, 28th July 1910. Epigraphy. Recording the progress report of the Assistant Archaeological Superintendent for -, Southern Circle, for the year 1909-1910</w:t>
      </w:r>
      <w:r>
        <w:t xml:space="preserve">. Edited by H. Krishna Sastri. No place, 1910. Page 57, appendix C/1910, item 84.</w:t>
      </w:r>
    </w:p>
    <w:p>
      <w:pPr>
        <w:pStyle w:val="BodyText"/>
      </w:pPr>
      <w:r>
        <w:rPr>
          <w:b/>
          <w:bCs/>
        </w:rPr>
        <w:t xml:space="preserve">[TLI]</w:t>
      </w:r>
      <w:r>
        <w:t xml:space="preserve"> </w:t>
      </w:r>
      <w:r>
        <w:t xml:space="preserve">Mahalingam, T. V. 1991.</w:t>
      </w:r>
      <w:r>
        <w:t xml:space="preserve"> </w:t>
      </w:r>
      <w:r>
        <w:rPr>
          <w:i/>
          <w:iCs/>
        </w:rPr>
        <w:t xml:space="preserve">A topographical list of inscriptions in the Tamil Nadu and Kerala states. Volume Eight: Tiruchchirappalli district.</w:t>
      </w:r>
      <w:r>
        <w:t xml:space="preserve"> </w:t>
      </w:r>
      <w:r>
        <w:t xml:space="preserve">New Delhi: ICHR.</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booksandjournals.brillonline.com/content/journals/10.1163/15728536-06003002" TargetMode="External" /><Relationship Type="http://schemas.openxmlformats.org/officeDocument/2006/relationships/hyperlink" Id="rId9" Target="https://dharmalekha.info/texts/INSSIIv14p1i0012" TargetMode="External" /><Relationship Type="http://schemas.openxmlformats.org/officeDocument/2006/relationships/hyperlink" Id="rId10" Target="https://doi.org/10.1163/15728536-06003002" TargetMode="External" /></Relationships>
</file>

<file path=word/_rels/footnotes.xml.rels><?xml version="1.0" encoding="UTF-8"?><Relationships xmlns="http://schemas.openxmlformats.org/package/2006/relationships"><Relationship Type="http://schemas.openxmlformats.org/officeDocument/2006/relationships/hyperlink" Id="rId11" Target="http://booksandjournals.brillonline.com/content/journals/10.1163/15728536-06003002" TargetMode="External" /><Relationship Type="http://schemas.openxmlformats.org/officeDocument/2006/relationships/hyperlink" Id="rId9" Target="https://dharmalekha.info/texts/INSSIIv14p1i0012" TargetMode="External" /><Relationship Type="http://schemas.openxmlformats.org/officeDocument/2006/relationships/hyperlink" Id="rId10" Target="https://doi.org/10.1163/15728536-06003002"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Tiruveḷḷaṟai, Jambunāthasvāmin temple, time of Māṟaṉ Caṭaiyaṉ, year 4 + 9</dc:title>
  <dc:creator>Valérie Gillet and Emmanuel Francis</dc:creator>
  <cp:keywords/>
  <dcterms:created xsi:type="dcterms:W3CDTF">2026-10-26T14:00:47Z</dcterms:created>
  <dcterms:modified xsi:type="dcterms:W3CDTF">2026-10-26T14:00:47Z</dcterms:modified>
</cp:coreProperties>
</file>

<file path=docProps/custom.xml><?xml version="1.0" encoding="utf-8"?>
<Properties xmlns="http://schemas.openxmlformats.org/officeDocument/2006/custom-properties" xmlns:vt="http://schemas.openxmlformats.org/officeDocument/2006/docPropsVTypes"/>
</file>