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Trichy (Tirucirāppaḷḷi), Lalitāṅkura cave temple, time of Māṟaṉ Caṭaiyaṉ, year 4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DHARMA_INSPandya00010</w:t>
      </w:r>
    </w:p>
    <w:p>
      <w:pPr>
        <w:pStyle w:val="BodyText"/>
      </w:pPr>
      <w:r>
        <w:t xml:space="preserve">Repository: Pāṇḍya (tfa-pandya-epigraphy)</w:t>
      </w:r>
    </w:p>
    <w:p>
      <w:pPr>
        <w:pStyle w:val="BodyText"/>
      </w:pPr>
      <w:r>
        <w:t xml:space="preserve">File path: DHARMA_INSPandya00010.xml</w:t>
      </w:r>
    </w:p>
    <w:p>
      <w:pPr>
        <w:pStyle w:val="BodyText"/>
      </w:pPr>
      <w:r>
        <w:t xml:space="preserve">Languages: Sanskrit [Grantha], Tamil [Grantha, Tamil]</w:t>
      </w:r>
    </w:p>
    <w:p>
      <w:pPr>
        <w:pStyle w:val="BodyText"/>
      </w:pPr>
      <w:r>
        <w:t xml:space="preserve">Commit: 2026-10-01 13:11 (562e33f), last modified 2026-09-29 11:09 (e2e7d8a)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Trichy, upper cave. Inscription recording the endowment of gold for maintaining perpetual lamps.</w:t>
      </w:r>
    </w:p>
    <w:p>
      <w:pPr>
        <w:pStyle w:val="BodyText"/>
      </w:pPr>
      <w:r>
        <w:t xml:space="preserve">VG: Lalitāṅkura cave temple in Trichy (Tirucirāppaḷḷi), Trichy taluk and district; at the entrance of the temple, on the flat surface before the eastern pilaster; regnal year 4 and 2501 days of Māṟañcaṭaiyaṉ; ARIE 1904, no. 414 (+ pp. 275–276); TLI Tp 1133; SII 17.444 (text not given); IEP 36 [K.G. Krishnan omitted lines 24–26].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rPr>
          <w:b/>
          <w:bCs/>
        </w:rPr>
        <w:t xml:space="preserve">Tamil script</w:t>
      </w:r>
      <w:r>
        <w:t xml:space="preserve">. The</w:t>
      </w:r>
      <w:r>
        <w:t xml:space="preserve"> </w:t>
      </w:r>
      <w:r>
        <w:rPr>
          <w:i/>
          <w:iCs/>
        </w:rPr>
        <w:t xml:space="preserve">puḷḷi</w:t>
      </w:r>
      <w:r>
        <w:t xml:space="preserve"> </w:t>
      </w:r>
      <w:r>
        <w:t xml:space="preserve">is used, almost consistently.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Śārdūlavikrīḍita</w:t>
        </w:r>
      </w:hyperlink>
    </w:p>
    <w:p>
      <w:pPr>
        <w:pStyle w:val="BodyText"/>
      </w:pPr>
      <w:r>
        <w:t xml:space="preserve">ka</w:t>
      </w:r>
      <w:r>
        <w:rPr>
          <w:rStyle w:val="ColorGray"/>
        </w:rPr>
        <w:t xml:space="preserve">⟨2⟩</w:t>
      </w:r>
      <w:r>
        <w:t xml:space="preserve">lpāpāya-hutāśa-dhū</w:t>
      </w:r>
      <w:r>
        <w:rPr>
          <w:rStyle w:val="ColorGray"/>
        </w:rPr>
        <w:t xml:space="preserve">⟨3⟩</w:t>
      </w:r>
      <w:r>
        <w:t xml:space="preserve">ma-paṭala-krūram‧ viṣaṁ līla</w:t>
      </w:r>
      <w:r>
        <w:rPr>
          <w:rStyle w:val="ColorGray"/>
        </w:rPr>
        <w:t xml:space="preserve">⟨4⟩</w:t>
      </w:r>
      <w:r>
        <w:t xml:space="preserve">yā</w:t>
      </w:r>
      <w:r>
        <w:br/>
      </w:r>
      <w:r>
        <w:t xml:space="preserve">kaṇṭhe yaḥ kalayām‧ babhūva v[i]</w:t>
      </w:r>
      <w:r>
        <w:rPr>
          <w:rStyle w:val="ColorGray"/>
        </w:rPr>
        <w:t xml:space="preserve">⟨5⟩</w:t>
      </w:r>
      <w:r>
        <w:t xml:space="preserve">budhai⟨r⟩ bibhya</w:t>
      </w:r>
      <w:r>
        <w:rPr>
          <w:rStyle w:val="ColorMagenta"/>
        </w:rPr>
        <w:t xml:space="preserve">¡t!</w:t>
      </w:r>
      <w:r>
        <w:rPr>
          <w:rStyle w:val="ColorBlue"/>
        </w:rPr>
        <w:t xml:space="preserve">⟨d⟩</w:t>
      </w:r>
      <w:r>
        <w:t xml:space="preserve">bhir abhya⟨r⟩tthitaḥ</w:t>
      </w:r>
      <w:r>
        <w:br/>
      </w:r>
      <w:r>
        <w:t xml:space="preserve">ya[s tā]</w:t>
      </w:r>
      <w:r>
        <w:rPr>
          <w:rStyle w:val="ColorGray"/>
        </w:rPr>
        <w:t xml:space="preserve">⟨6⟩</w:t>
      </w:r>
      <w:r>
        <w:t xml:space="preserve">⟨r⟩ṇīr iva ni⟨r⟩ddadāha vitatīś śuṣkāḥ purī</w:t>
      </w:r>
      <w:r>
        <w:rPr>
          <w:rStyle w:val="ColorGray"/>
        </w:rPr>
        <w:t xml:space="preserve">⟨7⟩</w:t>
      </w:r>
      <w:r>
        <w:t xml:space="preserve">r āsurī⟨r⟩</w:t>
      </w:r>
      <w:r>
        <w:br/>
      </w:r>
      <w:r>
        <w:t xml:space="preserve">yyaś cākṣi-jvalane juhāva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madanam‧ pāyād apāyāt sa vaḥ {wavy line}</w:t>
      </w:r>
    </w:p>
    <w:p>
      <w:pPr>
        <w:pStyle w:val="BodyText"/>
      </w:pPr>
      <w:r>
        <w:t xml:space="preserve">kō-māṟa[ñ]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caṭaiyaṟku yāṇṭu nāṅ(·)ku nāḷ Ir[ā]</w:t>
      </w:r>
      <w:r>
        <w:rPr>
          <w:rStyle w:val="ColorGray"/>
        </w:rPr>
        <w:t xml:space="preserve">⟨10⟩</w:t>
      </w:r>
      <w:r>
        <w:t xml:space="preserve">yirat(·)t’ ainnūṟṟ’ oṉṟu</w:t>
      </w:r>
    </w:p>
    <w:p>
      <w:pPr>
        <w:pStyle w:val="BodyText"/>
      </w:pPr>
      <w:r>
        <w:t xml:space="preserve">vem·pil· mati[ḷ a]</w:t>
      </w:r>
      <w:r>
        <w:rPr>
          <w:rStyle w:val="ColorGray"/>
        </w:rPr>
        <w:t xml:space="preserve">⟨11⟩</w:t>
      </w:r>
      <w:r>
        <w:t xml:space="preserve">ḻit(·)tup pōntu niyamat(·)t’ irunt-aruḷi [</w:t>
      </w:r>
      <w:r>
        <w:rPr>
          <w:b/>
          <w:bCs/>
        </w:rPr>
        <w:t xml:space="preserve">so</w:t>
      </w:r>
      <w:r>
        <w:t xml:space="preserve">]</w:t>
      </w:r>
      <w:r>
        <w:rPr>
          <w:rStyle w:val="ColorGray"/>
        </w:rPr>
        <w:t xml:space="preserve">⟨12⟩</w:t>
      </w:r>
      <w:r>
        <w:rPr>
          <w:b/>
          <w:bCs/>
        </w:rPr>
        <w:t xml:space="preserve">ma-sū⟨r⟩yyānva</w:t>
      </w:r>
      <w:r>
        <w:t xml:space="preserve">ya-</w:t>
      </w:r>
      <w:r>
        <w:rPr>
          <w:b/>
          <w:bCs/>
        </w:rPr>
        <w:t xml:space="preserve">dva</w:t>
      </w:r>
      <w:r>
        <w:t xml:space="preserve">ya-ti</w:t>
      </w:r>
      <w:r>
        <w:rPr>
          <w:b/>
          <w:bCs/>
        </w:rPr>
        <w:t xml:space="preserve">lakā</w:t>
      </w:r>
      <w:r>
        <w:rPr>
          <w:rStyle w:val="ColorRed"/>
          <w:b/>
          <w:bCs/>
        </w:rPr>
        <w:t xml:space="preserve">¿r?</w:t>
      </w:r>
      <w:r>
        <w:rPr>
          <w:rStyle w:val="ColorGreen"/>
          <w:b/>
          <w:bCs/>
        </w:rPr>
        <w:t xml:space="preserve">⟨l⟩</w:t>
      </w:r>
      <w:r>
        <w:rPr>
          <w:b/>
          <w:bCs/>
        </w:rPr>
        <w:t xml:space="preserve">aṁ</w:t>
      </w:r>
      <w:r>
        <w:rPr>
          <w:rStyle w:val="ColorMagenta"/>
          <w:b/>
          <w:bCs/>
        </w:rPr>
        <w:t xml:space="preserve">¡g!</w:t>
      </w:r>
      <w:r>
        <w:rPr>
          <w:rStyle w:val="ColorBlue"/>
          <w:b/>
          <w:bCs/>
        </w:rPr>
        <w:t xml:space="preserve">⟨k⟩</w:t>
      </w:r>
      <w:r>
        <w:rPr>
          <w:b/>
          <w:bCs/>
        </w:rPr>
        <w:t xml:space="preserve">ārar-ā</w:t>
      </w:r>
      <w:r>
        <w:t xml:space="preserve">yina [</w:t>
      </w:r>
      <w:r>
        <w:rPr>
          <w:b/>
          <w:bCs/>
        </w:rPr>
        <w:t xml:space="preserve">pā</w:t>
      </w:r>
      <w:r>
        <w:t xml:space="preserve">]</w:t>
      </w:r>
      <w:r>
        <w:rPr>
          <w:rStyle w:val="ColorGray"/>
        </w:rPr>
        <w:t xml:space="preserve">⟨13⟩</w:t>
      </w:r>
      <w:r>
        <w:rPr>
          <w:b/>
          <w:bCs/>
        </w:rPr>
        <w:t xml:space="preserve">ṇḍyādhirājar</w:t>
      </w:r>
      <w:r>
        <w:t xml:space="preserve"> </w:t>
      </w:r>
      <w:r>
        <w:t xml:space="preserve">va</w:t>
      </w:r>
      <w:r>
        <w:rPr>
          <w:b/>
          <w:bCs/>
        </w:rPr>
        <w:t xml:space="preserve">ragu</w:t>
      </w:r>
      <w:r>
        <w:t xml:space="preserve">ṇa-</w:t>
      </w:r>
      <w:r>
        <w:rPr>
          <w:b/>
          <w:bCs/>
        </w:rPr>
        <w:t xml:space="preserve">de</w:t>
      </w:r>
      <w:r>
        <w:t xml:space="preserve">var tirumal(ai)-</w:t>
      </w:r>
      <w:r>
        <w:rPr>
          <w:b/>
          <w:bCs/>
        </w:rPr>
        <w:t xml:space="preserve">bhaṭā</w:t>
      </w:r>
      <w:r>
        <w:t xml:space="preserve">ra[rk]</w:t>
      </w:r>
      <w:r>
        <w:rPr>
          <w:rStyle w:val="ColorGray"/>
        </w:rPr>
        <w:t xml:space="preserve">⟨14⟩</w:t>
      </w:r>
      <w:r>
        <w:t xml:space="preserve">ku-k kuṭutta poṉ pāṭi-k-kallāl 100 (2 10) 5 &lt;kaḻañcu&gt; nūṟ(ṟ)’ [i]</w:t>
      </w:r>
      <w:r>
        <w:rPr>
          <w:rStyle w:val="ColorGray"/>
        </w:rPr>
        <w:t xml:space="preserve">⟨15⟩</w:t>
      </w:r>
      <w:r>
        <w:t xml:space="preserve">rupatt’ aiṅ-kaḻañcum</w:t>
      </w:r>
    </w:p>
    <w:p>
      <w:pPr>
        <w:pStyle w:val="BodyText"/>
      </w:pPr>
      <w:r>
        <w:t xml:space="preserve">Ip-poṉ· mutaṉiṟka</w:t>
      </w:r>
      <w:r>
        <w:rPr>
          <w:rStyle w:val="ColorGray"/>
        </w:rPr>
        <w:t xml:space="preserve">⟨16⟩</w:t>
      </w:r>
      <w:r>
        <w:t xml:space="preserve">poli koṇṭu muppatiṉ kaḻañcu poṉṉiṉ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⟨17⟩</w:t>
      </w:r>
      <w:r>
        <w:rPr>
          <w:rStyle w:val="ColorGray"/>
        </w:rPr>
        <w:t xml:space="preserve"> </w:t>
      </w:r>
      <w:r>
        <w:t xml:space="preserve">poliyāl Oru nontā-viḷakk’ āka (nū)ṟṟ’ iru</w:t>
      </w:r>
      <w:r>
        <w:rPr>
          <w:rStyle w:val="ColorGray"/>
        </w:rPr>
        <w:t xml:space="preserve">⟨18⟩</w:t>
      </w:r>
      <w:r>
        <w:t xml:space="preserve">patin kaḻañcu poṉṉāl· nālu non</w:t>
      </w:r>
      <w:r>
        <w:rPr>
          <w:rStyle w:val="ColorGray"/>
        </w:rPr>
        <w:t xml:space="preserve">⟨19⟩</w:t>
      </w:r>
      <w:r>
        <w:t xml:space="preserve">tā viḷakk’ eriya-k kāṇa-nāḻiyāl nicati Aṭṭa-k ka</w:t>
      </w:r>
      <w:r>
        <w:rPr>
          <w:rStyle w:val="ColorGray"/>
        </w:rPr>
        <w:t xml:space="preserve">⟨20⟩</w:t>
      </w:r>
      <w:r>
        <w:t xml:space="preserve">ṭava ney Iru-nāḻi</w:t>
      </w:r>
    </w:p>
    <w:p>
      <w:pPr>
        <w:pStyle w:val="BodyText"/>
      </w:pPr>
      <w:r>
        <w:t xml:space="preserve">niṉ·ṟa Aiṅ-kaḻañcu po</w:t>
      </w:r>
      <w:r>
        <w:rPr>
          <w:rStyle w:val="ColorGray"/>
        </w:rPr>
        <w:t xml:space="preserve">⟨21⟩</w:t>
      </w:r>
      <w:r>
        <w:t xml:space="preserve">ṉṉālun tiṅkaṭoṟum tiṅkaṭ ṭiruvāti</w:t>
      </w:r>
      <w:r>
        <w:rPr>
          <w:rStyle w:val="ColorGray"/>
        </w:rPr>
        <w:t xml:space="preserve">⟨22⟩</w:t>
      </w:r>
      <w:r>
        <w:t xml:space="preserve">rai nāṉṟ’ avv-irā-p pularum aḷavum Aintu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⟨23⟩</w:t>
      </w:r>
      <w:r>
        <w:rPr>
          <w:rStyle w:val="ColorGray"/>
        </w:rPr>
        <w:t xml:space="preserve"> </w:t>
      </w:r>
      <w:r>
        <w:t xml:space="preserve">viḷakk’ eriya Aṭṭa-k kaṭava ney Iru-nāḻi U</w:t>
      </w:r>
      <w:r>
        <w:rPr>
          <w:rStyle w:val="ColorGray"/>
        </w:rPr>
        <w:t xml:space="preserve">⟨24⟩</w:t>
      </w:r>
      <w:r>
        <w:t xml:space="preserve">ri</w:t>
      </w:r>
    </w:p>
    <w:p>
      <w:pPr>
        <w:pStyle w:val="BodyText"/>
      </w:pPr>
      <w:r>
        <w:t xml:space="preserve">Ivv-oṭṭiṉa paricu ney Aṭṭi It-ti</w:t>
      </w:r>
      <w:r>
        <w:rPr>
          <w:rStyle w:val="ColorGray"/>
        </w:rPr>
        <w:t xml:space="preserve">⟨25⟩</w:t>
      </w:r>
      <w:r>
        <w:t xml:space="preserve">ru-viḷakk’ erippāṉ(·) Ip-poṉ· nūṟṟ’ irupatt’ ai</w:t>
      </w:r>
      <w:r>
        <w:rPr>
          <w:rStyle w:val="ColorGray"/>
        </w:rPr>
        <w:t xml:space="preserve">⟨26⟩</w:t>
      </w:r>
      <w:r>
        <w:t xml:space="preserve">ṅ-kaḻañcuṅ koṇṭōm· ciṟ(·)ṟampar naka[rat]</w:t>
      </w:r>
      <w:r>
        <w:rPr>
          <w:rStyle w:val="ColorGray"/>
        </w:rPr>
        <w:t xml:space="preserve">⟨27⟩</w:t>
      </w:r>
      <w:r>
        <w:t xml:space="preserve">tōm</w:t>
      </w:r>
    </w:p>
    <w:p>
      <w:pPr>
        <w:pStyle w:val="BodyText"/>
      </w:pPr>
      <w:r>
        <w:t xml:space="preserve">Ivv-oṭ·ṭiṉa paricu ney Aṭ·ṭuvip·[pa]</w:t>
      </w:r>
      <w:r>
        <w:rPr>
          <w:rStyle w:val="ColorGray"/>
        </w:rPr>
        <w:t xml:space="preserve">⟨28⟩</w:t>
      </w:r>
      <w:r>
        <w:t xml:space="preserve">taṟku Amain·tu puṇai-p· paṭṭōm· ciṟ·ṟam·par· [pa]</w:t>
      </w:r>
      <w:r>
        <w:rPr>
          <w:rStyle w:val="ColorGray"/>
        </w:rPr>
        <w:t xml:space="preserve">⟨29⟩</w:t>
      </w:r>
      <w:r>
        <w:t xml:space="preserve">tiyum(·) pātam(u/ū)lattōmum</w:t>
      </w:r>
    </w:p>
    <w:p>
      <w:pPr>
        <w:pStyle w:val="BodyText"/>
      </w:pPr>
      <w:r>
        <w:t xml:space="preserve">Itu</w:t>
      </w:r>
      <w:r>
        <w:t xml:space="preserve"> </w:t>
      </w:r>
      <w:r>
        <w:rPr>
          <w:b/>
          <w:bCs/>
        </w:rPr>
        <w:t xml:space="preserve">pan·māhe</w:t>
      </w:r>
      <w:r>
        <w:rPr>
          <w:rStyle w:val="ColorGray"/>
        </w:rPr>
        <w:t xml:space="preserve">⟨30⟩</w:t>
      </w:r>
      <w:r>
        <w:t xml:space="preserve">_</w:t>
      </w:r>
      <w:r>
        <w:rPr>
          <w:b/>
          <w:bCs/>
        </w:rPr>
        <w:t xml:space="preserve">śvararar Irakṣai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⟨5⟩</w:t>
      </w:r>
      <w:r>
        <w:t xml:space="preserve"> </w:t>
      </w:r>
      <w:r>
        <w:t xml:space="preserve">bibhya</w:t>
      </w:r>
      <w:r>
        <w:rPr>
          <w:rStyle w:val="ColorMagenta"/>
        </w:rPr>
        <w:t xml:space="preserve">¡t!</w:t>
      </w:r>
      <w:r>
        <w:rPr>
          <w:rStyle w:val="ColorBlue"/>
        </w:rPr>
        <w:t xml:space="preserve">⟨d⟩</w:t>
      </w:r>
      <w:r>
        <w:t xml:space="preserve">bhir V SII ⬦</w:t>
      </w:r>
      <w:r>
        <w:t xml:space="preserve"> </w:t>
      </w:r>
      <w:r>
        <w:rPr>
          <w:rStyle w:val="ColorGreen"/>
          <w:i/>
          <w:iCs/>
        </w:rPr>
        <w:t xml:space="preserve">bibhya</w:t>
      </w:r>
      <w:r>
        <w:rPr>
          <w:rStyle w:val="ColorMagenta"/>
          <w:i/>
          <w:iCs/>
        </w:rPr>
        <w:t xml:space="preserve">¡tth!</w:t>
      </w:r>
      <w:r>
        <w:rPr>
          <w:rStyle w:val="ColorBlue"/>
          <w:i/>
          <w:iCs/>
        </w:rPr>
        <w:t xml:space="preserve">⟨dbh⟩</w:t>
      </w:r>
      <w:r>
        <w:rPr>
          <w:rStyle w:val="ColorGreen"/>
          <w:i/>
          <w:iCs/>
        </w:rPr>
        <w:t xml:space="preserve">ir</w:t>
      </w:r>
      <w:r>
        <w:t xml:space="preserve"> </w:t>
      </w:r>
      <w:r>
        <w:t xml:space="preserve">G.</w:t>
      </w:r>
    </w:p>
    <w:p>
      <w:pPr>
        <w:pStyle w:val="BodyText"/>
      </w:pPr>
      <w:r>
        <w:rPr>
          <w:rStyle w:val="ColorGray"/>
        </w:rPr>
        <w:t xml:space="preserve">⟨6⟩</w:t>
      </w:r>
      <w:r>
        <w:t xml:space="preserve"> </w:t>
      </w:r>
      <w:r>
        <w:t xml:space="preserve">purī</w:t>
      </w:r>
      <w:r>
        <w:rPr>
          <w:rStyle w:val="ColorGray"/>
        </w:rPr>
        <w:t xml:space="preserve">⟨7⟩</w:t>
      </w:r>
      <w:r>
        <w:t xml:space="preserve">r V SII ⬦</w:t>
      </w:r>
      <w:r>
        <w:t xml:space="preserve"> </w:t>
      </w:r>
      <w:r>
        <w:rPr>
          <w:rStyle w:val="ColorGreen"/>
          <w:i/>
          <w:iCs/>
        </w:rPr>
        <w:t xml:space="preserve">puri</w:t>
      </w:r>
      <w:r>
        <w:rPr>
          <w:rStyle w:val="ColorGray"/>
          <w:i/>
          <w:iCs/>
        </w:rPr>
        <w:t xml:space="preserve">⟨7⟩</w:t>
      </w:r>
      <w:r>
        <w:rPr>
          <w:rStyle w:val="ColorGreen"/>
          <w:i/>
          <w:iCs/>
        </w:rPr>
        <w:t xml:space="preserve">r</w:t>
      </w:r>
      <w:r>
        <w:t xml:space="preserve"> </w:t>
      </w:r>
      <w:r>
        <w:t xml:space="preserve">G.</w:t>
      </w:r>
    </w:p>
    <w:p>
      <w:pPr>
        <w:pStyle w:val="BodyText"/>
      </w:pPr>
      <w:r>
        <w:rPr>
          <w:rStyle w:val="ColorGray"/>
        </w:rPr>
        <w:t xml:space="preserve">⟨12⟩</w:t>
      </w:r>
      <w:r>
        <w:t xml:space="preserve"> </w:t>
      </w:r>
      <w:r>
        <w:t xml:space="preserve">°ti</w:t>
      </w:r>
      <w:r>
        <w:rPr>
          <w:b/>
          <w:bCs/>
        </w:rPr>
        <w:t xml:space="preserve">lakā</w:t>
      </w:r>
      <w:r>
        <w:rPr>
          <w:rStyle w:val="ColorRed"/>
          <w:b/>
          <w:bCs/>
        </w:rPr>
        <w:t xml:space="preserve">¿r?</w:t>
      </w:r>
      <w:r>
        <w:rPr>
          <w:rStyle w:val="ColorGreen"/>
          <w:b/>
          <w:bCs/>
        </w:rPr>
        <w:t xml:space="preserve">⟨l⟩</w:t>
      </w:r>
      <w:r>
        <w:rPr>
          <w:b/>
          <w:bCs/>
        </w:rPr>
        <w:t xml:space="preserve">aṁ</w:t>
      </w:r>
      <w:r>
        <w:rPr>
          <w:rStyle w:val="ColorMagenta"/>
          <w:b/>
          <w:bCs/>
        </w:rPr>
        <w:t xml:space="preserve">¡g!</w:t>
      </w:r>
      <w:r>
        <w:rPr>
          <w:rStyle w:val="ColorBlue"/>
          <w:b/>
          <w:bCs/>
        </w:rPr>
        <w:t xml:space="preserve">⟨k⟩</w:t>
      </w:r>
      <w:r>
        <w:rPr>
          <w:b/>
          <w:bCs/>
        </w:rPr>
        <w:t xml:space="preserve">ārar</w:t>
      </w:r>
      <w:r>
        <w:t xml:space="preserve">° V SII ⬦</w:t>
      </w:r>
      <w:r>
        <w:t xml:space="preserve"> </w:t>
      </w:r>
      <w:r>
        <w:rPr>
          <w:rStyle w:val="ColorGreen"/>
          <w:i/>
          <w:iCs/>
        </w:rPr>
        <w:t xml:space="preserve">°ti</w:t>
      </w:r>
      <w:r>
        <w:rPr>
          <w:rStyle w:val="ColorGreen"/>
          <w:b/>
          <w:bCs/>
          <w:i/>
          <w:iCs/>
        </w:rPr>
        <w:t xml:space="preserve">lakāraṅgārar</w:t>
      </w:r>
      <w:r>
        <w:rPr>
          <w:rStyle w:val="ColorGreen"/>
          <w:i/>
          <w:iCs/>
        </w:rPr>
        <w:t xml:space="preserve">°</w:t>
      </w:r>
      <w:r>
        <w:t xml:space="preserve"> </w:t>
      </w:r>
      <w:r>
        <w:t xml:space="preserve">G.</w:t>
      </w:r>
    </w:p>
    <w:p>
      <w:pPr>
        <w:pStyle w:val="BodyText"/>
      </w:pPr>
      <w:r>
        <w:rPr>
          <w:rStyle w:val="ColorGray"/>
        </w:rPr>
        <w:t xml:space="preserve">⟨20⟩</w:t>
      </w:r>
      <w:r>
        <w:t xml:space="preserve"> </w:t>
      </w:r>
      <w:r>
        <w:t xml:space="preserve">niṉ·ṟa V SII ⬦</w:t>
      </w:r>
      <w:r>
        <w:t xml:space="preserve"> </w:t>
      </w:r>
      <w:r>
        <w:rPr>
          <w:rStyle w:val="ColorGreen"/>
          <w:i/>
          <w:iCs/>
        </w:rPr>
        <w:t xml:space="preserve">niṉṟu</w:t>
      </w:r>
      <w:r>
        <w:t xml:space="preserve"> </w:t>
      </w:r>
      <w:r>
        <w:t xml:space="preserve">G.</w:t>
      </w:r>
    </w:p>
    <w:p>
      <w:pPr>
        <w:pStyle w:val="BodyText"/>
      </w:pPr>
      <w:r>
        <w:rPr>
          <w:rStyle w:val="ColorGray"/>
        </w:rPr>
        <w:t xml:space="preserve">⟨22⟩</w:t>
      </w:r>
      <w:r>
        <w:t xml:space="preserve"> </w:t>
      </w:r>
      <w:r>
        <w:t xml:space="preserve">nāṉṟavvirāp SII ⬦</w:t>
      </w:r>
      <w:r>
        <w:t xml:space="preserve"> </w:t>
      </w:r>
      <w:r>
        <w:rPr>
          <w:rStyle w:val="ColorGreen"/>
          <w:i/>
          <w:iCs/>
        </w:rPr>
        <w:t xml:space="preserve">nāṉṟ(a)vvirāp</w:t>
      </w:r>
      <w:r>
        <w:t xml:space="preserve"> </w:t>
      </w:r>
      <w:r>
        <w:t xml:space="preserve">V;</w:t>
      </w:r>
      <w:r>
        <w:t xml:space="preserve"> </w:t>
      </w:r>
      <w:r>
        <w:rPr>
          <w:rStyle w:val="ColorGreen"/>
          <w:i/>
          <w:iCs/>
        </w:rPr>
        <w:t xml:space="preserve">nāṉṟavavirāp</w:t>
      </w:r>
      <w:r>
        <w:t xml:space="preserve"> </w:t>
      </w:r>
      <w:r>
        <w:t xml:space="preserve">G.</w:t>
      </w:r>
    </w:p>
    <w:p>
      <w:pPr>
        <w:pStyle w:val="BodyText"/>
      </w:pPr>
      <w:r>
        <w:rPr>
          <w:rStyle w:val="ColorGray"/>
        </w:rPr>
        <w:t xml:space="preserve">⟨24⟩</w:t>
      </w:r>
      <w:r>
        <w:t xml:space="preserve"> </w:t>
      </w:r>
      <w:r>
        <w:t xml:space="preserve">paricu ⬦</w:t>
      </w:r>
      <w:r>
        <w:t xml:space="preserve"> </w:t>
      </w:r>
      <w:r>
        <w:rPr>
          <w:rStyle w:val="ColorGreen"/>
          <w:b/>
          <w:bCs/>
          <w:i/>
          <w:iCs/>
        </w:rPr>
        <w:t xml:space="preserve">pa</w:t>
      </w:r>
      <w:r>
        <w:rPr>
          <w:rStyle w:val="ColorGreen"/>
          <w:i/>
          <w:iCs/>
        </w:rPr>
        <w:t xml:space="preserve">ricu</w:t>
      </w:r>
      <w:r>
        <w:t xml:space="preserve"> </w:t>
      </w:r>
      <w:r>
        <w:t xml:space="preserve">SII G.</w:t>
      </w:r>
    </w:p>
    <w:p>
      <w:pPr>
        <w:pStyle w:val="BodyText"/>
      </w:pPr>
      <w:r>
        <w:rPr>
          <w:rStyle w:val="ColorGray"/>
        </w:rPr>
        <w:t xml:space="preserve">⟨30⟩</w:t>
      </w:r>
      <w:r>
        <w:t xml:space="preserve"> </w:t>
      </w:r>
      <w:r>
        <w:rPr>
          <w:b/>
          <w:bCs/>
        </w:rPr>
        <w:t xml:space="preserve">Irakṣai</w:t>
      </w:r>
      <w:r>
        <w:t xml:space="preserve"> </w:t>
      </w:r>
      <w:r>
        <w:t xml:space="preserve">V SII ⬦</w:t>
      </w:r>
      <w:r>
        <w:t xml:space="preserve"> </w:t>
      </w:r>
      <w:r>
        <w:rPr>
          <w:rStyle w:val="ColorGreen"/>
          <w:b/>
          <w:bCs/>
          <w:i/>
          <w:iCs/>
        </w:rPr>
        <w:t xml:space="preserve">irakṣe</w:t>
      </w:r>
      <w:r>
        <w:t xml:space="preserve"> </w:t>
      </w:r>
      <w:r>
        <w:t xml:space="preserve">G.</w:t>
      </w:r>
    </w:p>
    <w:p>
      <w:pPr>
        <w:pStyle w:val="Heading1"/>
      </w:pPr>
      <w:r>
        <w:t xml:space="preserve">Translation by Gillet 2017</w:t>
      </w:r>
    </w:p>
    <w:p>
      <w:pPr>
        <w:pStyle w:val="FirstParagraph"/>
      </w:pPr>
      <w:r>
        <w:t xml:space="preserve">Hail! Prosperity! He who (</w:t>
      </w:r>
      <w:r>
        <w:rPr>
          <w:i/>
          <w:iCs/>
        </w:rPr>
        <w:t xml:space="preserve">yāḥ</w:t>
      </w:r>
      <w:r>
        <w:t xml:space="preserve"> </w:t>
      </w:r>
      <w:r>
        <w:t xml:space="preserve">for</w:t>
      </w:r>
      <w:r>
        <w:t xml:space="preserve"> </w:t>
      </w:r>
      <w:r>
        <w:rPr>
          <w:i/>
          <w:iCs/>
        </w:rPr>
        <w:t xml:space="preserve">yaḥ</w:t>
      </w:r>
      <w:r>
        <w:t xml:space="preserve">) carried (</w:t>
      </w:r>
      <w:r>
        <w:rPr>
          <w:i/>
          <w:iCs/>
        </w:rPr>
        <w:t xml:space="preserve">kalayām babhūva</w:t>
      </w:r>
      <w:r>
        <w:t xml:space="preserve">) in his throat (</w:t>
      </w:r>
      <w:r>
        <w:rPr>
          <w:i/>
          <w:iCs/>
        </w:rPr>
        <w:t xml:space="preserve">kaṇṭhe</w:t>
      </w:r>
      <w:r>
        <w:t xml:space="preserve">) playfully (</w:t>
      </w:r>
      <w:r>
        <w:rPr>
          <w:i/>
          <w:iCs/>
        </w:rPr>
        <w:t xml:space="preserve">lilayā</w:t>
      </w:r>
      <w:r>
        <w:t xml:space="preserve">) the poison (</w:t>
      </w:r>
      <w:r>
        <w:rPr>
          <w:i/>
          <w:iCs/>
        </w:rPr>
        <w:t xml:space="preserve">viṣaṁ</w:t>
      </w:r>
      <w:r>
        <w:t xml:space="preserve">), fierce (</w:t>
      </w:r>
      <w:r>
        <w:rPr>
          <w:i/>
          <w:iCs/>
        </w:rPr>
        <w:t xml:space="preserve">krūram</w:t>
      </w:r>
      <w:r>
        <w:t xml:space="preserve">) like the mass (</w:t>
      </w:r>
      <w:r>
        <w:rPr>
          <w:i/>
          <w:iCs/>
        </w:rPr>
        <w:t xml:space="preserve">paṭala</w:t>
      </w:r>
      <w:r>
        <w:t xml:space="preserve">) of smoke (</w:t>
      </w:r>
      <w:r>
        <w:rPr>
          <w:i/>
          <w:iCs/>
        </w:rPr>
        <w:t xml:space="preserve">dhūmama</w:t>
      </w:r>
      <w:r>
        <w:t xml:space="preserve"> </w:t>
      </w:r>
      <w:r>
        <w:t xml:space="preserve">for</w:t>
      </w:r>
      <w:r>
        <w:t xml:space="preserve"> </w:t>
      </w:r>
      <w:r>
        <w:rPr>
          <w:i/>
          <w:iCs/>
        </w:rPr>
        <w:t xml:space="preserve">dhūma</w:t>
      </w:r>
      <w:r>
        <w:t xml:space="preserve">) of the fire (</w:t>
      </w:r>
      <w:r>
        <w:rPr>
          <w:i/>
          <w:iCs/>
        </w:rPr>
        <w:t xml:space="preserve">hutāśa</w:t>
      </w:r>
      <w:r>
        <w:t xml:space="preserve">) at the end (</w:t>
      </w:r>
      <w:r>
        <w:rPr>
          <w:i/>
          <w:iCs/>
        </w:rPr>
        <w:t xml:space="preserve">apāya</w:t>
      </w:r>
      <w:r>
        <w:t xml:space="preserve">) of a</w:t>
      </w:r>
      <w:r>
        <w:t xml:space="preserve"> </w:t>
      </w:r>
      <w:r>
        <w:rPr>
          <w:i/>
          <w:iCs/>
        </w:rPr>
        <w:t xml:space="preserve">kalpa</w:t>
      </w:r>
      <w:r>
        <w:t xml:space="preserve">; he who (</w:t>
      </w:r>
      <w:r>
        <w:rPr>
          <w:i/>
          <w:iCs/>
        </w:rPr>
        <w:t xml:space="preserve">yas</w:t>
      </w:r>
      <w:r>
        <w:t xml:space="preserve">), requested (</w:t>
      </w:r>
      <w:r>
        <w:rPr>
          <w:i/>
          <w:iCs/>
        </w:rPr>
        <w:t xml:space="preserve">abhyatthitaḥ</w:t>
      </w:r>
      <w:r>
        <w:t xml:space="preserve"> </w:t>
      </w:r>
      <w:r>
        <w:t xml:space="preserve">for</w:t>
      </w:r>
      <w:r>
        <w:t xml:space="preserve"> </w:t>
      </w:r>
      <w:r>
        <w:rPr>
          <w:i/>
          <w:iCs/>
        </w:rPr>
        <w:t xml:space="preserve">abhyarthitaḥ</w:t>
      </w:r>
      <w:r>
        <w:t xml:space="preserve">) by the frightened (</w:t>
      </w:r>
      <w:r>
        <w:rPr>
          <w:i/>
          <w:iCs/>
        </w:rPr>
        <w:t xml:space="preserve">bibhyatthir</w:t>
      </w:r>
      <w:r>
        <w:t xml:space="preserve"> </w:t>
      </w:r>
      <w:r>
        <w:t xml:space="preserve">for</w:t>
      </w:r>
      <w:r>
        <w:t xml:space="preserve"> </w:t>
      </w:r>
      <w:r>
        <w:rPr>
          <w:i/>
          <w:iCs/>
        </w:rPr>
        <w:t xml:space="preserve">bibhyadbhir</w:t>
      </w:r>
      <w:r>
        <w:t xml:space="preserve">) gods (</w:t>
      </w:r>
      <w:r>
        <w:rPr>
          <w:i/>
          <w:iCs/>
        </w:rPr>
        <w:t xml:space="preserve">vibudhair</w:t>
      </w:r>
      <w:r>
        <w:t xml:space="preserve">), destroyed by fire (</w:t>
      </w:r>
      <w:r>
        <w:rPr>
          <w:i/>
          <w:iCs/>
        </w:rPr>
        <w:t xml:space="preserve">nirddadāha</w:t>
      </w:r>
      <w:r>
        <w:t xml:space="preserve">) the cities of the</w:t>
      </w:r>
      <w:r>
        <w:t xml:space="preserve"> </w:t>
      </w:r>
      <w:r>
        <w:rPr>
          <w:i/>
          <w:iCs/>
        </w:rPr>
        <w:t xml:space="preserve">asuras</w:t>
      </w:r>
      <w:r>
        <w:t xml:space="preserve"> </w:t>
      </w:r>
      <w:r>
        <w:t xml:space="preserve">(</w:t>
      </w:r>
      <w:r>
        <w:rPr>
          <w:i/>
          <w:iCs/>
        </w:rPr>
        <w:t xml:space="preserve">purīr āsurīr</w:t>
      </w:r>
      <w:r>
        <w:t xml:space="preserve">), like dry (</w:t>
      </w:r>
      <w:r>
        <w:rPr>
          <w:i/>
          <w:iCs/>
        </w:rPr>
        <w:t xml:space="preserve">śuṣkāḥ</w:t>
      </w:r>
      <w:r>
        <w:t xml:space="preserve">) heaps (</w:t>
      </w:r>
      <w:r>
        <w:rPr>
          <w:i/>
          <w:iCs/>
        </w:rPr>
        <w:t xml:space="preserve">vitatīḥ</w:t>
      </w:r>
      <w:r>
        <w:t xml:space="preserve">) made of grass (</w:t>
      </w:r>
      <w:r>
        <w:rPr>
          <w:i/>
          <w:iCs/>
        </w:rPr>
        <w:t xml:space="preserve">tārṇīr iva</w:t>
      </w:r>
      <w:r>
        <w:t xml:space="preserve">) and he who (</w:t>
      </w:r>
      <w:r>
        <w:rPr>
          <w:i/>
          <w:iCs/>
        </w:rPr>
        <w:t xml:space="preserve">yas</w:t>
      </w:r>
      <w:r>
        <w:t xml:space="preserve">) offered Madana as oblation (</w:t>
      </w:r>
      <w:r>
        <w:rPr>
          <w:i/>
          <w:iCs/>
        </w:rPr>
        <w:t xml:space="preserve">juhāva</w:t>
      </w:r>
      <w:r>
        <w:t xml:space="preserve">) in the fire (</w:t>
      </w:r>
      <w:r>
        <w:rPr>
          <w:i/>
          <w:iCs/>
        </w:rPr>
        <w:t xml:space="preserve">jvalane</w:t>
      </w:r>
      <w:r>
        <w:t xml:space="preserve">) of his eye (</w:t>
      </w:r>
      <w:r>
        <w:rPr>
          <w:i/>
          <w:iCs/>
        </w:rPr>
        <w:t xml:space="preserve">akṣi</w:t>
      </w:r>
      <w:r>
        <w:t xml:space="preserve">)—may he protect you from evil!</w:t>
      </w:r>
    </w:p>
    <w:p>
      <w:pPr>
        <w:pStyle w:val="BodyText"/>
      </w:pPr>
      <w:r>
        <w:t xml:space="preserve">⟨This is⟩ the 4th year ⟨and⟩ two thousand five hundred and one days of king Māṟañcaṭaiyaṉ. Having gone (</w:t>
      </w:r>
      <w:r>
        <w:rPr>
          <w:i/>
          <w:iCs/>
        </w:rPr>
        <w:t xml:space="preserve">pontu</w:t>
      </w:r>
      <w:r>
        <w:t xml:space="preserve">) after destroying (</w:t>
      </w:r>
      <w:r>
        <w:rPr>
          <w:i/>
          <w:iCs/>
        </w:rPr>
        <w:t xml:space="preserve">aḻittu</w:t>
      </w:r>
      <w:r>
        <w:t xml:space="preserve">) the walls (</w:t>
      </w:r>
      <w:r>
        <w:rPr>
          <w:i/>
          <w:iCs/>
        </w:rPr>
        <w:t xml:space="preserve">matiḷ</w:t>
      </w:r>
      <w:r>
        <w:t xml:space="preserve">) of Vempil, having graciously seated in Niyamam (</w:t>
      </w:r>
      <w:r>
        <w:rPr>
          <w:i/>
          <w:iCs/>
        </w:rPr>
        <w:t xml:space="preserve">niyamattu iruntu aruḷi</w:t>
      </w:r>
      <w:r>
        <w:t xml:space="preserve">), Pāṇḍyādhirāja Varaguṇadeva, who has become (</w:t>
      </w:r>
      <w:r>
        <w:rPr>
          <w:i/>
          <w:iCs/>
        </w:rPr>
        <w:t xml:space="preserve">āyina</w:t>
      </w:r>
      <w:r>
        <w:t xml:space="preserve">) the ornament (</w:t>
      </w:r>
      <w:r>
        <w:rPr>
          <w:i/>
          <w:iCs/>
        </w:rPr>
        <w:t xml:space="preserve">araṅgārar</w:t>
      </w:r>
      <w:r>
        <w:t xml:space="preserve"> </w:t>
      </w:r>
      <w:r>
        <w:t xml:space="preserve">for</w:t>
      </w:r>
      <w:r>
        <w:t xml:space="preserve"> </w:t>
      </w:r>
      <w:r>
        <w:rPr>
          <w:i/>
          <w:iCs/>
        </w:rPr>
        <w:t xml:space="preserve">alaṅgārar</w:t>
      </w:r>
      <w:r>
        <w:t xml:space="preserve">) ⟨as⟩ the forehead mark (</w:t>
      </w:r>
      <w:r>
        <w:rPr>
          <w:i/>
          <w:iCs/>
        </w:rPr>
        <w:t xml:space="preserve">tilaka</w:t>
      </w:r>
      <w:r>
        <w:t xml:space="preserve">) of both (</w:t>
      </w:r>
      <w:r>
        <w:rPr>
          <w:i/>
          <w:iCs/>
        </w:rPr>
        <w:t xml:space="preserve">dvaya</w:t>
      </w:r>
      <w:r>
        <w:t xml:space="preserve">) the solar and lunar lineages (</w:t>
      </w:r>
      <w:r>
        <w:rPr>
          <w:i/>
          <w:iCs/>
        </w:rPr>
        <w:t xml:space="preserve">soma-sūryya-anvaya</w:t>
      </w:r>
      <w:r>
        <w:t xml:space="preserve">), gave (</w:t>
      </w:r>
      <w:r>
        <w:rPr>
          <w:i/>
          <w:iCs/>
        </w:rPr>
        <w:t xml:space="preserve">kuṭutta</w:t>
      </w:r>
      <w:r>
        <w:t xml:space="preserve">) for Bhaṭārar of the sacred hill (</w:t>
      </w:r>
      <w:r>
        <w:rPr>
          <w:i/>
          <w:iCs/>
        </w:rPr>
        <w:t xml:space="preserve">tiru-malai</w:t>
      </w:r>
      <w:r>
        <w:t xml:space="preserve">) 125</w:t>
      </w:r>
      <w:r>
        <w:t xml:space="preserve"> </w:t>
      </w:r>
      <w:r>
        <w:rPr>
          <w:i/>
          <w:iCs/>
        </w:rPr>
        <w:t xml:space="preserve">kaḻañcu</w:t>
      </w:r>
      <w:r>
        <w:t xml:space="preserve">s with ⟨standard⟩ measuring stone (</w:t>
      </w:r>
      <w:r>
        <w:rPr>
          <w:i/>
          <w:iCs/>
        </w:rPr>
        <w:t xml:space="preserve">pāṭikkallāl</w:t>
      </w:r>
      <w:r>
        <w:t xml:space="preserve">); while the whole hundred and twenty five</w:t>
      </w:r>
      <w:r>
        <w:t xml:space="preserve"> </w:t>
      </w:r>
      <w:r>
        <w:rPr>
          <w:i/>
          <w:iCs/>
        </w:rPr>
        <w:t xml:space="preserve">kaḻañcu</w:t>
      </w:r>
      <w:r>
        <w:t xml:space="preserve">s of this gold stood as capital (</w:t>
      </w:r>
      <w:r>
        <w:rPr>
          <w:i/>
          <w:iCs/>
        </w:rPr>
        <w:t xml:space="preserve">mutal niṟka</w:t>
      </w:r>
      <w:r>
        <w:t xml:space="preserve">), having got the interests (</w:t>
      </w:r>
      <w:r>
        <w:rPr>
          <w:i/>
          <w:iCs/>
        </w:rPr>
        <w:t xml:space="preserve">poli koṇṭu</w:t>
      </w:r>
      <w:r>
        <w:t xml:space="preserve">); at the rate of one perpetual lamp (</w:t>
      </w:r>
      <w:r>
        <w:rPr>
          <w:i/>
          <w:iCs/>
        </w:rPr>
        <w:t xml:space="preserve">oru nontāviḷakku āka</w:t>
      </w:r>
      <w:r>
        <w:t xml:space="preserve">) with the interests (</w:t>
      </w:r>
      <w:r>
        <w:rPr>
          <w:i/>
          <w:iCs/>
        </w:rPr>
        <w:t xml:space="preserve">poliyāl</w:t>
      </w:r>
      <w:r>
        <w:t xml:space="preserve">) of 30</w:t>
      </w:r>
      <w:r>
        <w:t xml:space="preserve"> </w:t>
      </w:r>
      <w:r>
        <w:rPr>
          <w:i/>
          <w:iCs/>
        </w:rPr>
        <w:t xml:space="preserve">kaḻañcu</w:t>
      </w:r>
      <w:r>
        <w:t xml:space="preserve">s of this gold; with hundred and twenty</w:t>
      </w:r>
      <w:r>
        <w:t xml:space="preserve"> </w:t>
      </w:r>
      <w:r>
        <w:rPr>
          <w:i/>
          <w:iCs/>
        </w:rPr>
        <w:t xml:space="preserve">kaḻañcu</w:t>
      </w:r>
      <w:r>
        <w:t xml:space="preserve">s of gold (</w:t>
      </w:r>
      <w:r>
        <w:rPr>
          <w:i/>
          <w:iCs/>
        </w:rPr>
        <w:t xml:space="preserve">poṉṉāl</w:t>
      </w:r>
      <w:r>
        <w:t xml:space="preserve">), two</w:t>
      </w:r>
      <w:r>
        <w:t xml:space="preserve"> </w:t>
      </w:r>
      <w:r>
        <w:rPr>
          <w:i/>
          <w:iCs/>
        </w:rPr>
        <w:t xml:space="preserve">nāḻi</w:t>
      </w:r>
      <w:r>
        <w:t xml:space="preserve">s of ghee (</w:t>
      </w:r>
      <w:r>
        <w:rPr>
          <w:i/>
          <w:iCs/>
        </w:rPr>
        <w:t xml:space="preserve">ney irunāḻi</w:t>
      </w:r>
      <w:r>
        <w:t xml:space="preserve">) will have to be supplied (</w:t>
      </w:r>
      <w:r>
        <w:rPr>
          <w:i/>
          <w:iCs/>
        </w:rPr>
        <w:t xml:space="preserve">aṭṭak-kaṭava</w:t>
      </w:r>
      <w:r>
        <w:t xml:space="preserve">) every day (</w:t>
      </w:r>
      <w:r>
        <w:rPr>
          <w:i/>
          <w:iCs/>
        </w:rPr>
        <w:t xml:space="preserve">nicati</w:t>
      </w:r>
      <w:r>
        <w:t xml:space="preserve">) with one</w:t>
      </w:r>
      <w:r>
        <w:t xml:space="preserve"> </w:t>
      </w:r>
      <w:r>
        <w:rPr>
          <w:i/>
          <w:iCs/>
        </w:rPr>
        <w:t xml:space="preserve">kāṇanāḻi</w:t>
      </w:r>
      <w:r>
        <w:t xml:space="preserve"> </w:t>
      </w:r>
      <w:r>
        <w:t xml:space="preserve">(measure) for burning (</w:t>
      </w:r>
      <w:r>
        <w:rPr>
          <w:i/>
          <w:iCs/>
        </w:rPr>
        <w:t xml:space="preserve">eriya</w:t>
      </w:r>
      <w:r>
        <w:t xml:space="preserve">) four perpetual lamps; and with the 5</w:t>
      </w:r>
      <w:r>
        <w:t xml:space="preserve"> </w:t>
      </w:r>
      <w:r>
        <w:rPr>
          <w:i/>
          <w:iCs/>
        </w:rPr>
        <w:t xml:space="preserve">kaḻañcu</w:t>
      </w:r>
      <w:r>
        <w:t xml:space="preserve">s of gold remaining (</w:t>
      </w:r>
      <w:r>
        <w:rPr>
          <w:i/>
          <w:iCs/>
        </w:rPr>
        <w:t xml:space="preserve">niṉṟu</w:t>
      </w:r>
      <w:r>
        <w:t xml:space="preserve">), every month (</w:t>
      </w:r>
      <w:r>
        <w:rPr>
          <w:i/>
          <w:iCs/>
        </w:rPr>
        <w:t xml:space="preserve">tiṅkaṭoṟum</w:t>
      </w:r>
      <w:r>
        <w:t xml:space="preserve">) on the day (</w:t>
      </w:r>
      <w:r>
        <w:rPr>
          <w:i/>
          <w:iCs/>
        </w:rPr>
        <w:t xml:space="preserve">nāṉṟav</w:t>
      </w:r>
      <w:r>
        <w:t xml:space="preserve">, that is,</w:t>
      </w:r>
      <w:r>
        <w:t xml:space="preserve"> </w:t>
      </w:r>
      <w:r>
        <w:rPr>
          <w:i/>
          <w:iCs/>
        </w:rPr>
        <w:t xml:space="preserve">nāl-āṉṟu-a-v</w:t>
      </w:r>
      <w:r>
        <w:t xml:space="preserve">) of Tiruvātirai in the month (</w:t>
      </w:r>
      <w:r>
        <w:rPr>
          <w:i/>
          <w:iCs/>
        </w:rPr>
        <w:t xml:space="preserve">tiṅkaḷ</w:t>
      </w:r>
      <w:r>
        <w:t xml:space="preserve">), two</w:t>
      </w:r>
      <w:r>
        <w:t xml:space="preserve"> </w:t>
      </w:r>
      <w:r>
        <w:rPr>
          <w:i/>
          <w:iCs/>
        </w:rPr>
        <w:t xml:space="preserve">nāḻi</w:t>
      </w:r>
      <w:r>
        <w:t xml:space="preserve">s and one</w:t>
      </w:r>
      <w:r>
        <w:t xml:space="preserve"> </w:t>
      </w:r>
      <w:r>
        <w:rPr>
          <w:i/>
          <w:iCs/>
        </w:rPr>
        <w:t xml:space="preserve">uri</w:t>
      </w:r>
      <w:r>
        <w:t xml:space="preserve"> </w:t>
      </w:r>
      <w:r>
        <w:t xml:space="preserve">of ghee have to be supplied (</w:t>
      </w:r>
      <w:r>
        <w:rPr>
          <w:i/>
          <w:iCs/>
        </w:rPr>
        <w:t xml:space="preserve">aṭṭak-kaṭava</w:t>
      </w:r>
      <w:r>
        <w:t xml:space="preserve">) for burning five lamps to the point (</w:t>
      </w:r>
      <w:r>
        <w:rPr>
          <w:i/>
          <w:iCs/>
        </w:rPr>
        <w:t xml:space="preserve">aḷavum</w:t>
      </w:r>
      <w:r>
        <w:t xml:space="preserve">) when that night (</w:t>
      </w:r>
      <w:r>
        <w:rPr>
          <w:i/>
          <w:iCs/>
        </w:rPr>
        <w:t xml:space="preserve">a-v-irā</w:t>
      </w:r>
      <w:r>
        <w:t xml:space="preserve">) faints (</w:t>
      </w:r>
      <w:r>
        <w:rPr>
          <w:i/>
          <w:iCs/>
        </w:rPr>
        <w:t xml:space="preserve">pularum</w:t>
      </w:r>
      <w:r>
        <w:t xml:space="preserve">) ⟨i.e. until dawn⟩; we, the Nagarattar of Ciṟṟampar, have taken (</w:t>
      </w:r>
      <w:r>
        <w:rPr>
          <w:i/>
          <w:iCs/>
        </w:rPr>
        <w:t xml:space="preserve">koṇṭōm</w:t>
      </w:r>
      <w:r>
        <w:t xml:space="preserve">) the hundred and twenty five</w:t>
      </w:r>
      <w:r>
        <w:t xml:space="preserve"> </w:t>
      </w:r>
      <w:r>
        <w:rPr>
          <w:i/>
          <w:iCs/>
        </w:rPr>
        <w:t xml:space="preserve">kaḻañcu</w:t>
      </w:r>
      <w:r>
        <w:t xml:space="preserve">s of this gold to burn (</w:t>
      </w:r>
      <w:r>
        <w:rPr>
          <w:i/>
          <w:iCs/>
        </w:rPr>
        <w:t xml:space="preserve">erippāṉ</w:t>
      </w:r>
      <w:r>
        <w:t xml:space="preserve">) these sacred lamps, having supplied (</w:t>
      </w:r>
      <w:r>
        <w:rPr>
          <w:i/>
          <w:iCs/>
        </w:rPr>
        <w:t xml:space="preserve">aṭṭi</w:t>
      </w:r>
      <w:r>
        <w:t xml:space="preserve">) the ghee (</w:t>
      </w:r>
      <w:r>
        <w:rPr>
          <w:i/>
          <w:iCs/>
        </w:rPr>
        <w:t xml:space="preserve">ney</w:t>
      </w:r>
      <w:r>
        <w:t xml:space="preserve">) in a manner (</w:t>
      </w:r>
      <w:r>
        <w:rPr>
          <w:i/>
          <w:iCs/>
        </w:rPr>
        <w:t xml:space="preserve">paricu</w:t>
      </w:r>
      <w:r>
        <w:t xml:space="preserve">) that is abiding by (</w:t>
      </w:r>
      <w:r>
        <w:rPr>
          <w:i/>
          <w:iCs/>
        </w:rPr>
        <w:t xml:space="preserve">oṭṭiṉa</w:t>
      </w:r>
      <w:r>
        <w:t xml:space="preserve">) this; in a manner (</w:t>
      </w:r>
      <w:r>
        <w:rPr>
          <w:i/>
          <w:iCs/>
        </w:rPr>
        <w:t xml:space="preserve">paricu</w:t>
      </w:r>
      <w:r>
        <w:t xml:space="preserve">) that is abiding by (</w:t>
      </w:r>
      <w:r>
        <w:rPr>
          <w:i/>
          <w:iCs/>
        </w:rPr>
        <w:t xml:space="preserve">oṭṭiṉa</w:t>
      </w:r>
      <w:r>
        <w:t xml:space="preserve">) this, we will stand (</w:t>
      </w:r>
      <w:r>
        <w:rPr>
          <w:i/>
          <w:iCs/>
        </w:rPr>
        <w:t xml:space="preserve">paṭṭōm</w:t>
      </w:r>
      <w:r>
        <w:t xml:space="preserve">) as security (</w:t>
      </w:r>
      <w:r>
        <w:rPr>
          <w:i/>
          <w:iCs/>
        </w:rPr>
        <w:t xml:space="preserve">puṇai</w:t>
      </w:r>
      <w:r>
        <w:t xml:space="preserve">), having settled (</w:t>
      </w:r>
      <w:r>
        <w:rPr>
          <w:i/>
          <w:iCs/>
        </w:rPr>
        <w:t xml:space="preserve">amainta</w:t>
      </w:r>
      <w:r>
        <w:t xml:space="preserve">) for supplying ghee, we the Pati and Pātamūlam. This is under the protection the Panmāheśvarar.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Prosperity! Fortune!</w:t>
      </w:r>
    </w:p>
    <w:p>
      <w:pPr>
        <w:pStyle w:val="BodyText"/>
      </w:pPr>
      <w:r>
        <w:t xml:space="preserve">1.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rPr>
          <w:rStyle w:val="ColorGray"/>
        </w:rPr>
        <w:t xml:space="preserve">⟨8–10⟩</w:t>
      </w:r>
      <w:r>
        <w:t xml:space="preserve"> </w:t>
      </w:r>
      <w:r>
        <w:t xml:space="preserve">Year four, day two thousand five hundred one of the king Mārañ Caṭaiyaṉ.</w:t>
      </w:r>
    </w:p>
    <w:p>
      <w:pPr>
        <w:pStyle w:val="BodyText"/>
      </w:pPr>
      <w:r>
        <w:rPr>
          <w:rStyle w:val="ColorGray"/>
        </w:rPr>
        <w:t xml:space="preserve">⟨10–15⟩</w:t>
      </w:r>
      <w:r>
        <w:t xml:space="preserve"> </w:t>
      </w:r>
      <w:r>
        <w:t xml:space="preserve">...</w:t>
      </w:r>
    </w:p>
    <w:p>
      <w:pPr>
        <w:pStyle w:val="BodyText"/>
      </w:pPr>
      <w:r>
        <w:rPr>
          <w:rStyle w:val="ColorGray"/>
        </w:rPr>
        <w:t xml:space="preserve">⟨15–20⟩</w:t>
      </w:r>
      <w:r>
        <w:t xml:space="preserve"> </w:t>
      </w:r>
      <w:r>
        <w:t xml:space="preserve">...</w:t>
      </w:r>
    </w:p>
    <w:p>
      <w:pPr>
        <w:pStyle w:val="BodyText"/>
      </w:pPr>
      <w:r>
        <w:rPr>
          <w:rStyle w:val="ColorGray"/>
        </w:rPr>
        <w:t xml:space="preserve">⟨20–24⟩</w:t>
      </w:r>
      <w:r>
        <w:t xml:space="preserve"> </w:t>
      </w:r>
      <w:r>
        <w:t xml:space="preserve">...</w:t>
      </w:r>
    </w:p>
    <w:p>
      <w:pPr>
        <w:pStyle w:val="BodyText"/>
      </w:pPr>
      <w:r>
        <w:rPr>
          <w:rStyle w:val="ColorGray"/>
        </w:rPr>
        <w:t xml:space="preserve">⟨24–27⟩</w:t>
      </w:r>
      <w:r>
        <w:t xml:space="preserve"> </w:t>
      </w:r>
      <w:r>
        <w:t xml:space="preserve">...</w:t>
      </w:r>
    </w:p>
    <w:p>
      <w:pPr>
        <w:pStyle w:val="BodyText"/>
      </w:pPr>
      <w:r>
        <w:rPr>
          <w:rStyle w:val="ColorGray"/>
        </w:rPr>
        <w:t xml:space="preserve">⟨27–29⟩</w:t>
      </w:r>
      <w:r>
        <w:t xml:space="preserve"> </w:t>
      </w:r>
      <w:r>
        <w:t xml:space="preserve">...</w:t>
      </w:r>
    </w:p>
    <w:p>
      <w:pPr>
        <w:pStyle w:val="BodyText"/>
      </w:pPr>
      <w:r>
        <w:rPr>
          <w:rStyle w:val="ColorGray"/>
        </w:rPr>
        <w:t xml:space="preserve">⟨29–30⟩</w:t>
      </w:r>
      <w:r>
        <w:t xml:space="preserve"> </w:t>
      </w:r>
      <w:r>
        <w:t xml:space="preserve">This is under the protection of the Paṉmāheśvaras.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1904–05 (ARIE/1904-1905/A/1904/414), in Mahalingam 1991 (Tp 1133).</w:t>
      </w:r>
    </w:p>
    <w:p>
      <w:pPr>
        <w:pStyle w:val="BodyText"/>
      </w:pPr>
      <w:r>
        <w:t xml:space="preserve">Edited in Venkayya 1906, with English translation (ARASI 1903-1904), in Ramanatha Ayyar 1962 (</w:t>
      </w:r>
      <w:hyperlink r:id="rId10">
        <w:r>
          <w:rPr>
            <w:rStyle w:val="Hyperlink"/>
          </w:rPr>
          <w:t xml:space="preserve">SII 14.10</w:t>
        </w:r>
      </w:hyperlink>
      <w:r>
        <w:t xml:space="preserve">). Text in Krishnan 2002 (IEP 36). Edited in Gillet 2017, with English translation, based on autopsy and photographs (</w:t>
      </w:r>
      <w:hyperlink r:id="rId11">
        <w:r>
          <w:rPr>
            <w:rStyle w:val="Hyperlink"/>
          </w:rPr>
          <w:t xml:space="preserve">Valérie Gillet, 2008</w:t>
        </w:r>
      </w:hyperlink>
      <w:r>
        <w:t xml:space="preserve">).</w:t>
      </w:r>
    </w:p>
    <w:p>
      <w:pPr>
        <w:pStyle w:val="BodyText"/>
      </w:pPr>
      <w:r>
        <w:t xml:space="preserve">This revised edition by Valérie Gillet and Emmanuel Francis, further based on photographs (Emmanuel Francis, 2004).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[V]</w:t>
      </w:r>
      <w:r>
        <w:t xml:space="preserve"> </w:t>
      </w:r>
      <w:r>
        <w:t xml:space="preserve">Venkayya, V. 1906. “Inscriptions in the Trichinopoly Cave.”</w:t>
      </w:r>
      <w:r>
        <w:t xml:space="preserve"> </w:t>
      </w:r>
      <w:r>
        <w:rPr>
          <w:i/>
          <w:iCs/>
        </w:rPr>
        <w:t xml:space="preserve">ASI, Annual Report 1903-1904</w:t>
      </w:r>
      <w:r>
        <w:t xml:space="preserve">, pp. 270–276.</w:t>
      </w:r>
    </w:p>
    <w:p>
      <w:pPr>
        <w:pStyle w:val="BodyText"/>
      </w:pPr>
      <w:r>
        <w:rPr>
          <w:b/>
          <w:bCs/>
        </w:rPr>
        <w:t xml:space="preserve">[SII]</w:t>
      </w:r>
      <w:r>
        <w:t xml:space="preserve"> </w:t>
      </w:r>
      <w:r>
        <w:t xml:space="preserve">Ramanatha Ayyar, A. S. 1962.</w:t>
      </w:r>
      <w:r>
        <w:t xml:space="preserve"> </w:t>
      </w:r>
      <w:r>
        <w:rPr>
          <w:i/>
          <w:iCs/>
        </w:rPr>
        <w:t xml:space="preserve">South Indian inscriptions. Volume XIV: The Pāṇḍyas</w:t>
      </w:r>
      <w:r>
        <w:t xml:space="preserve">. South Indian Inscriptions 14. Delhi: Archaeological survey of India (Manager of Publications). Page 6, item 10.</w:t>
      </w:r>
    </w:p>
    <w:p>
      <w:pPr>
        <w:pStyle w:val="BodyText"/>
      </w:pPr>
      <w:r>
        <w:rPr>
          <w:b/>
          <w:bCs/>
        </w:rPr>
        <w:t xml:space="preserve">[IEP]</w:t>
      </w:r>
      <w:r>
        <w:t xml:space="preserve"> </w:t>
      </w:r>
      <w:r>
        <w:t xml:space="preserve">Krishnan, K. G. 2002.</w:t>
      </w:r>
      <w:r>
        <w:t xml:space="preserve"> </w:t>
      </w:r>
      <w:r>
        <w:rPr>
          <w:i/>
          <w:iCs/>
        </w:rPr>
        <w:t xml:space="preserve">Inscriptions of the early Pāṇḍyas (from c. 300 B.C. to 984 A.D.)</w:t>
      </w:r>
      <w:r>
        <w:t xml:space="preserve"> </w:t>
      </w:r>
      <w:r>
        <w:t xml:space="preserve">New Delhi: ICHR &amp; Northern Book Centre. Page TBC, item 36.</w:t>
      </w:r>
    </w:p>
    <w:p>
      <w:pPr>
        <w:pStyle w:val="BodyText"/>
      </w:pPr>
      <w:r>
        <w:rPr>
          <w:b/>
          <w:bCs/>
        </w:rPr>
        <w:t xml:space="preserve">[G]</w:t>
      </w:r>
      <w:r>
        <w:t xml:space="preserve"> </w:t>
      </w:r>
      <w:r>
        <w:t xml:space="preserve">Gillet, Valérie. 2017. “Devotion and Dominion: Ninth-Century Donations of a Pāṇḍyan King in Temples along the River Kāvēri.” IIJ 60 (3), pp. 219–283. DOI:</w:t>
      </w:r>
      <w:r>
        <w:t xml:space="preserve"> </w:t>
      </w:r>
      <w:hyperlink r:id="rId12">
        <w:r>
          <w:rPr>
            <w:rStyle w:val="Hyperlink"/>
          </w:rPr>
          <w:t xml:space="preserve">10.1163/15728536-06003002</w:t>
        </w:r>
      </w:hyperlink>
      <w:r>
        <w:t xml:space="preserve">.</w:t>
      </w:r>
      <w:r>
        <w:t xml:space="preserve"> </w:t>
      </w:r>
      <w:hyperlink r:id="rId13">
        <w:r>
          <w:rPr>
            <w:rStyle w:val="Hyperlink"/>
          </w:rPr>
          <w:t xml:space="preserve">[URL]</w:t>
        </w:r>
      </w:hyperlink>
      <w:r>
        <w:t xml:space="preserve">. Pages 254–255, item 3.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rPr>
          <w:b/>
          <w:bCs/>
        </w:rPr>
        <w:t xml:space="preserve">[ARIE 1904-1905]</w:t>
      </w:r>
      <w:r>
        <w:t xml:space="preserve"> </w:t>
      </w:r>
      <w:r>
        <w:t xml:space="preserve">ARIE 1904–05.</w:t>
      </w:r>
      <w:r>
        <w:t xml:space="preserve"> </w:t>
      </w:r>
      <w:r>
        <w:rPr>
          <w:i/>
          <w:iCs/>
        </w:rPr>
        <w:t xml:space="preserve">G.O. No. 518, 18th July 1905. Epigraphy. Recording the annual report of the Government Epigraphist for the year 1904-1905, and directing that the report be forwarded to the government of India</w:t>
      </w:r>
      <w:r>
        <w:t xml:space="preserve">. Edited by V. Venkayya. No place, 1905. Page 15, appendix A/1904, item 414.</w:t>
      </w:r>
    </w:p>
    <w:p>
      <w:pPr>
        <w:pStyle w:val="BodyText"/>
      </w:pPr>
      <w:r>
        <w:rPr>
          <w:b/>
          <w:bCs/>
        </w:rPr>
        <w:t xml:space="preserve">[TLI]</w:t>
      </w:r>
      <w:r>
        <w:t xml:space="preserve"> </w:t>
      </w:r>
      <w:r>
        <w:t xml:space="preserve">Mahalingam, T. V. 1991.</w:t>
      </w:r>
      <w:r>
        <w:t xml:space="preserve"> </w:t>
      </w:r>
      <w:r>
        <w:rPr>
          <w:i/>
          <w:iCs/>
        </w:rPr>
        <w:t xml:space="preserve">A topographical list of inscriptions in the Tamil Nadu and Kerala states. Volume Eight: Tiruchchirappalli district.</w:t>
      </w:r>
      <w:r>
        <w:t xml:space="preserve"> </w:t>
      </w:r>
      <w:r>
        <w:t xml:space="preserve">New Delhi: ICHR. Pages 251–252, item Tp 1133.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http://booksandjournals.brillonline.com/content/journals/10.1163/15728536-06003002" TargetMode="External" /><Relationship Type="http://schemas.openxmlformats.org/officeDocument/2006/relationships/hyperlink" Id="rId9" Target="https://dharmalekha.info/prosody#prosody-115" TargetMode="External" /><Relationship Type="http://schemas.openxmlformats.org/officeDocument/2006/relationships/hyperlink" Id="rId10" Target="https://dharmalekha.info/texts/INSSIIv14p1i0010" TargetMode="External" /><Relationship Type="http://schemas.openxmlformats.org/officeDocument/2006/relationships/hyperlink" Id="rId11" Target="https://didomena.ehess.fr/concern/data_sets/****" TargetMode="External" /><Relationship Type="http://schemas.openxmlformats.org/officeDocument/2006/relationships/hyperlink" Id="rId12" Target="https://doi.org/10.1163/15728536-060030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://booksandjournals.brillonline.com/content/journals/10.1163/15728536-06003002" TargetMode="External" /><Relationship Type="http://schemas.openxmlformats.org/officeDocument/2006/relationships/hyperlink" Id="rId9" Target="https://dharmalekha.info/prosody#prosody-115" TargetMode="External" /><Relationship Type="http://schemas.openxmlformats.org/officeDocument/2006/relationships/hyperlink" Id="rId10" Target="https://dharmalekha.info/texts/INSSIIv14p1i0010" TargetMode="External" /><Relationship Type="http://schemas.openxmlformats.org/officeDocument/2006/relationships/hyperlink" Id="rId11" Target="https://didomena.ehess.fr/concern/data_sets/****" TargetMode="External" /><Relationship Type="http://schemas.openxmlformats.org/officeDocument/2006/relationships/hyperlink" Id="rId12" Target="https://doi.org/10.1163/15728536-06003002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Trichy (Tirucirāppaḷḷi), Lalitāṅkura cave temple, time of Māṟaṉ Caṭaiyaṉ, year 4</dc:title>
  <dc:creator>Emmanuel Francis</dc:creator>
  <cp:keywords/>
  <dcterms:created xsi:type="dcterms:W3CDTF">2026-10-26T19:11:07Z</dcterms:created>
  <dcterms:modified xsi:type="dcterms:W3CDTF">2026-10-26T19:11:07Z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