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Kaṭalāṭi, time of Māntaparumāṉ, year 11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DHARMA_INSPallava00291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DHARMA_INSPallava00291.xml</w:t>
      </w:r>
    </w:p>
    <w:p>
      <w:pPr>
        <w:pStyle w:val="BodyText"/>
      </w:pPr>
      <w:r>
        <w:t xml:space="preserve">Language: Tamil [Vaṭṭeḻuttu]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Hero-stone inscription commemorating the death of a hero.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mānta-parumaṟku-p patiṉ-o</w:t>
      </w:r>
      <w:r>
        <w:rPr>
          <w:rStyle w:val="ColorGray"/>
        </w:rPr>
        <w:t xml:space="preserve">⟨2⟩</w:t>
      </w:r>
      <w:r>
        <w:t xml:space="preserve">ṉṟ-āvatu</w:t>
      </w:r>
    </w:p>
    <w:p>
      <w:pPr>
        <w:pStyle w:val="BodyText"/>
      </w:pPr>
      <w:r>
        <w:t xml:space="preserve">koṅkaṇi-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⟨y-a⟩</w:t>
      </w:r>
      <w:r>
        <w:t xml:space="preserve">raicaru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paṭai-</w:t>
      </w:r>
      <w:r>
        <w:rPr>
          <w:rStyle w:val="ColorMagenta"/>
        </w:rPr>
        <w:t xml:space="preserve">¡O!</w:t>
      </w:r>
      <w:r>
        <w:rPr>
          <w:rStyle w:val="ColorBlue"/>
        </w:rPr>
        <w:t xml:space="preserve">⟨y-o⟩</w:t>
      </w:r>
      <w:r>
        <w:t xml:space="preserve">ṭu ciri-kaṅkaraicaru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caṅka-ma(ṅ)kalatt’ eṟinta ñā</w:t>
      </w:r>
      <w:r>
        <w:rPr>
          <w:rStyle w:val="ColorGray"/>
        </w:rPr>
        <w:t xml:space="preserve">⟨5⟩</w:t>
      </w:r>
      <w:r>
        <w:t xml:space="preserve">ṉṟu ciri-kaṅkaraicaru cēvaka</w:t>
      </w:r>
      <w:r>
        <w:rPr>
          <w:rStyle w:val="ColorGray"/>
        </w:rPr>
        <w:t xml:space="preserve">⟨6⟩</w:t>
      </w:r>
      <w:r>
        <w:t xml:space="preserve">ru vicaiya-koṟṟa</w:t>
      </w:r>
      <w:r>
        <w:rPr>
          <w:rStyle w:val="ColorGray"/>
        </w:rPr>
        <w:t xml:space="preserve">⟨7⟩</w:t>
      </w:r>
      <w:r>
        <w:t xml:space="preserve">ṭaiyā(ru) Eṟin</w:t>
      </w:r>
      <w:r>
        <w:rPr>
          <w:rStyle w:val="ColorGray"/>
        </w:rPr>
        <w:t xml:space="preserve">⟨8⟩</w:t>
      </w:r>
      <w:r>
        <w:t xml:space="preserve">tu paṭ</w:t>
      </w:r>
      <w:r>
        <w:rPr>
          <w:rStyle w:val="ColorGray"/>
        </w:rPr>
        <w:t xml:space="preserve">⟨9⟩</w:t>
      </w:r>
      <w:r>
        <w:t xml:space="preserve">ṭa kal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Eleventh year of Māntaparumaṉ.</w:t>
      </w:r>
    </w:p>
    <w:p>
      <w:pPr>
        <w:pStyle w:val="BodyText"/>
      </w:pPr>
      <w:r>
        <w:rPr>
          <w:rStyle w:val="ColorGray"/>
        </w:rPr>
        <w:t xml:space="preserve">⟨2–9⟩</w:t>
      </w:r>
      <w:r>
        <w:t xml:space="preserve"> </w:t>
      </w:r>
      <w:r>
        <w:t xml:space="preserve">⟨This is the⟩ stone ⟨erected when⟩ the victorious (</w:t>
      </w:r>
      <w:r>
        <w:rPr>
          <w:i/>
          <w:iCs/>
        </w:rPr>
        <w:t xml:space="preserve">vicaiya</w:t>
      </w:r>
      <w:r>
        <w:t xml:space="preserve">) Koṟṟaṭaiyā(ru), the servant of the glorious (</w:t>
      </w:r>
      <w:r>
        <w:rPr>
          <w:i/>
          <w:iCs/>
        </w:rPr>
        <w:t xml:space="preserve">ciri</w:t>
      </w:r>
      <w:r>
        <w:rPr>
          <w:rStyle w:val="FootnoteReference"/>
        </w:rPr>
        <w:footnoteReference w:id="9"/>
      </w:r>
      <w:r>
        <w:t xml:space="preserve">) Kaṅkaraicaru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attacked (</w:t>
      </w:r>
      <w:r>
        <w:rPr>
          <w:i/>
          <w:iCs/>
        </w:rPr>
        <w:t xml:space="preserve">eṟintu</w:t>
      </w:r>
      <w:r>
        <w:rPr>
          <w:rStyle w:val="FootnoteReference"/>
        </w:rPr>
        <w:footnoteReference w:id="11"/>
      </w:r>
      <w:r>
        <w:t xml:space="preserve">) and died, when (</w:t>
      </w:r>
      <w:r>
        <w:rPr>
          <w:i/>
          <w:iCs/>
        </w:rPr>
        <w:t xml:space="preserve">ñāṉṟu</w:t>
      </w:r>
      <w:r>
        <w:t xml:space="preserve">) the glorious Kaṅkaraicaru made an attack (</w:t>
      </w:r>
      <w:r>
        <w:rPr>
          <w:i/>
          <w:iCs/>
        </w:rPr>
        <w:t xml:space="preserve">eṟinta</w:t>
      </w:r>
      <w:r>
        <w:t xml:space="preserve">) in Caṅkama(ṅ)kalam along with the army (</w:t>
      </w:r>
      <w:r>
        <w:rPr>
          <w:i/>
          <w:iCs/>
        </w:rPr>
        <w:t xml:space="preserve">paṭai-y-oṭu</w:t>
      </w:r>
      <w:r>
        <w:t xml:space="preserve">) of Koṅkaṇi-Araicaru.</w:t>
      </w:r>
      <w:r>
        <w:rPr>
          <w:rStyle w:val="FootnoteReference"/>
        </w:rPr>
        <w:footnoteReference w:id="12"/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IAR 1971-72.</w:t>
      </w:r>
    </w:p>
    <w:p>
      <w:pPr>
        <w:pStyle w:val="BodyText"/>
      </w:pPr>
      <w:r>
        <w:t xml:space="preserve">Edited in Nākacāmi 1972 (CN 1971/124). Text and summary in Mahalingam 1988 (IP 291).</w:t>
      </w:r>
    </w:p>
    <w:p>
      <w:pPr>
        <w:pStyle w:val="BodyText"/>
      </w:pPr>
      <w:r>
        <w:t xml:space="preserve">This digital edition by Emmanuel Francis, based on Nākacāmi 1972.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[CN]</w:t>
      </w:r>
      <w:r>
        <w:t xml:space="preserve"> </w:t>
      </w:r>
      <w:r>
        <w:t xml:space="preserve">Nākacāmi, Irā. 1972.</w:t>
      </w:r>
      <w:r>
        <w:t xml:space="preserve"> </w:t>
      </w:r>
      <w:r>
        <w:rPr>
          <w:i/>
          <w:iCs/>
        </w:rPr>
        <w:t xml:space="preserve">Ceṅkam naṭukaṟkaḷ</w:t>
      </w:r>
      <w:r>
        <w:t xml:space="preserve">. TNSDA publication 21. Ceṉṉai: Tamiḻnāṭu Aracu tolporuḷ Āyvuttuṟai. Item 1971/124.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Page 683, item 291.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[IAR]</w:t>
      </w:r>
      <w:r>
        <w:t xml:space="preserve"> </w:t>
      </w:r>
      <w:r>
        <w:t xml:space="preserve">IAR 1971-72.</w:t>
      </w:r>
      <w:r>
        <w:t xml:space="preserve"> </w:t>
      </w:r>
      <w:r>
        <w:rPr>
          <w:i/>
          <w:iCs/>
        </w:rPr>
        <w:t xml:space="preserve">Indian Archaeology 1971-72: A Review</w:t>
      </w:r>
      <w:r>
        <w:t xml:space="preserve">. Edited by M. N. Deshpande. New Delhi: Archaeological Survey of India, 1975. Page 59, item 39.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</w:t>
      </w:r>
      <w:r>
        <w:t xml:space="preserve"> </w:t>
      </w:r>
      <w:r>
        <w:rPr>
          <w:i/>
          <w:iCs/>
        </w:rPr>
        <w:t xml:space="preserve">śrī</w:t>
      </w:r>
      <w:r>
        <w:t xml:space="preserve">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Kaṅkaraiyar.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Literally: having attacked.</w:t>
      </w:r>
    </w:p>
  </w:footnote>
  <w:footnote w:id="12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Koṅkaṇiyaraiyar.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Kaṭalāṭi, time of Māntaparumāṉ, year 11</dc:title>
  <dc:creator>Emmanuel Francis</dc:creator>
  <cp:keywords/>
  <dcterms:created xsi:type="dcterms:W3CDTF">2026-11-06T00:25:43Z</dcterms:created>
  <dcterms:modified xsi:type="dcterms:W3CDTF">2026-11-06T00:25:43Z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