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Civaṉ Vāyal, eulogy of Siṁhavarman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DHARMA_INSPallava00041</w:t>
      </w:r>
    </w:p>
    <w:p>
      <w:pPr>
        <w:pStyle w:val="BodyText"/>
      </w:pPr>
      <w:r>
        <w:t xml:space="preserve">Repository: Pallava (tfa-pallava-epigraphy)</w:t>
      </w:r>
    </w:p>
    <w:p>
      <w:pPr>
        <w:pStyle w:val="BodyText"/>
      </w:pPr>
      <w:r>
        <w:t xml:space="preserve">File path: DHARMA_INSPallava00041.xml</w:t>
      </w:r>
    </w:p>
    <w:p>
      <w:pPr>
        <w:pStyle w:val="BodyText"/>
      </w:pPr>
      <w:r>
        <w:t xml:space="preserve">Language: Sanskrit [Grantha]</w:t>
      </w:r>
    </w:p>
    <w:p>
      <w:pPr>
        <w:pStyle w:val="BodyText"/>
      </w:pPr>
      <w:r>
        <w:t xml:space="preserve">Commit: 2026-10-08 12:16 (1b1b17c), last modified 2026-09-29 11:09 (6edbbfa)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Lacunose eulogy of Siṁhavarman on the fragment of a pillar. Probably of Narasiṁhavarman I Pallava. Another lacunose portion of the same eulogy is probably found on another pillar fragment in the same place. See inscription</w:t>
      </w:r>
      <w:r>
        <w:t xml:space="preserve"> </w:t>
      </w:r>
      <w:hyperlink r:id="rId9">
        <w:r>
          <w:rPr>
            <w:rStyle w:val="Hyperlink"/>
          </w:rPr>
          <w:t xml:space="preserve">Pallava 356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Heading2"/>
      </w:pPr>
      <w:r>
        <w:t xml:space="preserve">Face 1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tāśeṣa-prajā-vipalla(vānā)</w:t>
      </w:r>
      <w:r>
        <w:rPr>
          <w:rStyle w:val="ColorGray"/>
        </w:rPr>
        <w:t xml:space="preserve">⟨2⟩</w:t>
      </w:r>
      <w:r>
        <w:t xml:space="preserve">m pallavānām anvaye viṣva</w:t>
      </w:r>
      <w:r>
        <w:rPr>
          <w:rStyle w:val="ColorGray"/>
        </w:rPr>
        <w:t xml:space="preserve">⟨3⟩</w:t>
      </w:r>
      <w:r>
        <w:t xml:space="preserve">kseṇa Iva vr̥ṣṇīnām a[.]r̥ [1+]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nmānugraham atiśay(i/ī) [2+]</w:t>
      </w:r>
    </w:p>
    <w:p>
      <w:pPr>
        <w:pStyle w:val="Heading2"/>
      </w:pPr>
      <w:r>
        <w:t xml:space="preserve">Face 2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(vi)jaya(s)y(ā)m e(va) mah(ā)-sainya</w:t>
      </w:r>
      <w:r>
        <w:rPr>
          <w:rStyle w:val="ColorGray"/>
        </w:rPr>
        <w:t xml:space="preserve">⟨2⟩</w:t>
      </w:r>
      <w:r>
        <w:t xml:space="preserve">dvipo daśāśvamedha-bahusuvarṇṇa</w:t>
      </w:r>
      <w:r>
        <w:rPr>
          <w:rStyle w:val="ColorGray"/>
        </w:rPr>
        <w:t xml:space="preserve">⟨3⟩</w:t>
      </w:r>
      <w:r>
        <w:t xml:space="preserve">kratuyājī devah śrī-siṁha</w:t>
      </w:r>
      <w:r>
        <w:rPr>
          <w:rStyle w:val="ColorGray"/>
        </w:rPr>
        <w:t xml:space="preserve">⟨4⟩</w:t>
      </w:r>
      <w:r>
        <w:t xml:space="preserve">varmmā pratāpa Iva mūrttim(ān)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[1 lost line]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[…] -(va)na-ma(ṇ)ḍa […]</w:t>
      </w:r>
    </w:p>
    <w:p>
      <w:pPr>
        <w:pStyle w:val="Heading2"/>
      </w:pPr>
      <w:r>
        <w:t xml:space="preserve">Face 3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(su)pra(ṇ)īta-daṇḍ(e)na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punar i(ḍha) dvijanmasu vi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[2+] sarvva-sva-pratipa</w:t>
      </w:r>
      <w:r>
        <w:rPr>
          <w:rStyle w:val="ColorGray"/>
        </w:rPr>
        <w:t xml:space="preserve">⟨4⟩</w:t>
      </w:r>
      <w:r>
        <w:t xml:space="preserve">[…] (l)ī</w:t>
      </w:r>
    </w:p>
    <w:p>
      <w:pPr>
        <w:pStyle w:val="Heading1"/>
      </w:pPr>
      <w:r>
        <w:t xml:space="preserve">Apparatus</w:t>
      </w:r>
    </w:p>
    <w:p>
      <w:pPr>
        <w:pStyle w:val="Heading2"/>
      </w:pPr>
      <w:r>
        <w:t xml:space="preserve">Face 1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°tāśeṣa° ⬦ EI • B notes (fn. 857): “Il faut suppléer, au début de ce composé,</w:t>
      </w:r>
      <w:r>
        <w:t xml:space="preserve"> </w:t>
      </w:r>
      <w:r>
        <w:rPr>
          <w:i/>
          <w:iCs/>
        </w:rPr>
        <w:t xml:space="preserve">[dhvas]tāśeṣa-</w:t>
      </w:r>
      <w:r>
        <w:t xml:space="preserve"> </w:t>
      </w:r>
      <w:r>
        <w:t xml:space="preserve">(cf. No 60) ou</w:t>
      </w:r>
      <w:r>
        <w:t xml:space="preserve"> </w:t>
      </w:r>
      <w:r>
        <w:rPr>
          <w:i/>
          <w:iCs/>
        </w:rPr>
        <w:t xml:space="preserve">[nirākr̥]tāśeṣa</w:t>
      </w:r>
      <w:r>
        <w:t xml:space="preserve">- (cf. Nos 33 &amp; 54).”.</w:t>
      </w:r>
    </w:p>
    <w:p>
      <w:pPr>
        <w:pStyle w:val="Heading2"/>
      </w:pPr>
      <w:r>
        <w:t xml:space="preserve">Face 3</w:t>
      </w:r>
    </w:p>
    <w:p>
      <w:pPr>
        <w:pStyle w:val="FirstParagraph"/>
      </w:pPr>
      <w:r>
        <w:rPr>
          <w:rStyle w:val="ColorGray"/>
        </w:rPr>
        <w:t xml:space="preserve">⟨4⟩</w:t>
      </w:r>
      <w:r>
        <w:t xml:space="preserve"> </w:t>
      </w:r>
      <w:r>
        <w:t xml:space="preserve">i(ḍha) ⬦</w:t>
      </w:r>
      <w:r>
        <w:t xml:space="preserve"> </w:t>
      </w:r>
      <w:r>
        <w:rPr>
          <w:rStyle w:val="ColorGreen"/>
          <w:i/>
          <w:iCs/>
        </w:rPr>
        <w:t xml:space="preserve">iḍha</w:t>
      </w:r>
      <w:r>
        <w:t xml:space="preserve"> </w:t>
      </w:r>
      <w:r>
        <w:t xml:space="preserve">EI • EI suggests to read</w:t>
      </w:r>
      <w:r>
        <w:t xml:space="preserve"> </w:t>
      </w:r>
      <w:r>
        <w:rPr>
          <w:i/>
          <w:iCs/>
        </w:rPr>
        <w:t xml:space="preserve">iha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idaṁ</w:t>
      </w:r>
      <w:r>
        <w:t xml:space="preserve">. B opts for</w:t>
      </w:r>
      <w:r>
        <w:t xml:space="preserve"> </w:t>
      </w:r>
      <w:r>
        <w:rPr>
          <w:i/>
          <w:iCs/>
        </w:rPr>
        <w:t xml:space="preserve">iha</w:t>
      </w:r>
      <w:r>
        <w:t xml:space="preserve">.</w:t>
      </w:r>
    </w:p>
    <w:p>
      <w:pPr>
        <w:pStyle w:val="Heading1"/>
      </w:pPr>
      <w:r>
        <w:t xml:space="preserve">Translation into French by Brocquet 1997</w:t>
      </w:r>
    </w:p>
    <w:p>
      <w:pPr>
        <w:pStyle w:val="FirstParagraph"/>
      </w:pPr>
      <w:r>
        <w:t xml:space="preserve">(Né) dans la lignée des Pallava, qui détruisent toutes les calamités frappant leurs sujets</w:t>
      </w:r>
      <w:r>
        <w:rPr>
          <w:rStyle w:val="FootnoteReference"/>
        </w:rPr>
        <w:footnoteReference w:id="10"/>
      </w:r>
      <w:r>
        <w:t xml:space="preserve">, comme Viṣvaksena</w:t>
      </w:r>
      <w:r>
        <w:rPr>
          <w:rStyle w:val="FootnoteReference"/>
        </w:rPr>
        <w:footnoteReference w:id="11"/>
      </w:r>
      <w:r>
        <w:t xml:space="preserve"> </w:t>
      </w:r>
      <w:r>
        <w:t xml:space="preserve">dans celle des Vr̥ṣṇi, […] de la victoire, qui possède une puissante armée et de puissants éléphants, qui accomplit dix sacrifices du cheval</w:t>
      </w:r>
      <w:r>
        <w:rPr>
          <w:rStyle w:val="FootnoteReference"/>
        </w:rPr>
        <w:footnoteReference w:id="12"/>
      </w:r>
      <w:r>
        <w:t xml:space="preserve"> </w:t>
      </w:r>
      <w:r>
        <w:t xml:space="preserve">et celui du bahusuvarṇna</w:t>
      </w:r>
      <w:r>
        <w:rPr>
          <w:rStyle w:val="FootnoteReference"/>
        </w:rPr>
        <w:footnoteReference w:id="13"/>
      </w:r>
      <w:r>
        <w:t xml:space="preserve">, ce Seigneur Śrī-Siṁhavarman, pareil à la majesté personnifiée, […] au moyen d’une armée bien conduite […] à nouveau en ce lieu, parmi les deux-fois-nés […]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1943–45 (ARIE/1943-1945/B/1944-1945/11).</w:t>
      </w:r>
    </w:p>
    <w:p>
      <w:pPr>
        <w:pStyle w:val="BodyText"/>
      </w:pPr>
      <w:r>
        <w:t xml:space="preserve">Edited in Venkataramayya 1947–1948 (EI 27.13), with visual documentation. Text in Mahalingam 1988 (IP 41). Text and translation in Brocquet 1997 (B 31).</w:t>
      </w:r>
    </w:p>
    <w:p>
      <w:pPr>
        <w:pStyle w:val="BodyText"/>
      </w:pPr>
      <w:r>
        <w:t xml:space="preserve">This revised edition by Emmanuel Francis, based on the visual documentation published in Venkataramayya 1947–1948 and on photos (EFEO).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[EI]</w:t>
      </w:r>
      <w:r>
        <w:t xml:space="preserve"> </w:t>
      </w:r>
      <w:r>
        <w:t xml:space="preserve">Venkataramayya, M. 1947–1948. “Sivanvayal pillar inscription of Pallava Simhavarman.” EI 27, pp. 59–62.</w:t>
      </w:r>
    </w:p>
    <w:p>
      <w:pPr>
        <w:pStyle w:val="BodyText"/>
      </w:pPr>
      <w:r>
        <w:rPr>
          <w:b/>
          <w:bCs/>
        </w:rPr>
        <w:t xml:space="preserve">[IP]</w:t>
      </w:r>
      <w:r>
        <w:t xml:space="preserve"> </w:t>
      </w:r>
      <w:r>
        <w:t xml:space="preserve">Mahalingam, T. V. 1988.</w:t>
      </w:r>
      <w:r>
        <w:t xml:space="preserve"> </w:t>
      </w:r>
      <w:r>
        <w:rPr>
          <w:i/>
          <w:iCs/>
        </w:rPr>
        <w:t xml:space="preserve">Inscriptions of the Pallavas</w:t>
      </w:r>
      <w:r>
        <w:t xml:space="preserve">. New Delhi; Delhi: Indian Council of Historical Research; Agam Prakashan. Item 41, pages 142–143.</w:t>
      </w:r>
    </w:p>
    <w:p>
      <w:pPr>
        <w:pStyle w:val="BodyText"/>
      </w:pPr>
      <w:r>
        <w:rPr>
          <w:b/>
          <w:bCs/>
        </w:rPr>
        <w:t xml:space="preserve">[B]</w:t>
      </w:r>
      <w:r>
        <w:t xml:space="preserve"> </w:t>
      </w:r>
      <w:r>
        <w:t xml:space="preserve">Brocquet, Sylvain. 1997. “Les inscriptions sanskrites des Pallava : poésie, rituel, idéologie.” Thèse de doctorat, Université de la Sorbonne Nouvelle. Paris. Item 31, pages 502–504.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1943–45.</w:t>
      </w:r>
      <w:r>
        <w:t xml:space="preserve"> </w:t>
      </w:r>
      <w:r>
        <w:rPr>
          <w:i/>
          <w:iCs/>
        </w:rPr>
        <w:t xml:space="preserve">Annual reports on South Indian epigraphy for the years 1943-44 and 1944-45</w:t>
      </w:r>
      <w:r>
        <w:t xml:space="preserve">. By N. Laksminarayan Rao. Delhi: Government of India, 1955. Page 40, appendixes B/1944-1945, item 11.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fn859 : Il est impossible de traduire le jeu de mots:</w:t>
      </w:r>
      <w:r>
        <w:t xml:space="preserve"> </w:t>
      </w:r>
      <w:r>
        <w:rPr>
          <w:i/>
          <w:iCs/>
        </w:rPr>
        <w:t xml:space="preserve">-vipal-lava-</w:t>
      </w:r>
      <w:r>
        <w:t xml:space="preserve">, « qui détruit les calamités »; il forme une antanaclase avec le nom de la dynastie:</w:t>
      </w:r>
      <w:r>
        <w:t xml:space="preserve"> </w:t>
      </w:r>
      <w:r>
        <w:rPr>
          <w:i/>
          <w:iCs/>
        </w:rPr>
        <w:t xml:space="preserve">pallava-</w:t>
      </w:r>
      <w:r>
        <w:t xml:space="preserve">; on trouve le même jeu dans les tablettes de Kūram (Parameśvaravarman I, N°33), celles d’Udayendiram et celles de Velūrpāḷaiyam (Nandivarman II, Nos 54 &amp; 60).</w:t>
      </w:r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fn860 : Càd Kr̥ṣṇa.</w:t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fn861 : On ne peut déterminer si le mot</w:t>
      </w:r>
      <w:r>
        <w:t xml:space="preserve"> </w:t>
      </w:r>
      <w:r>
        <w:rPr>
          <w:i/>
          <w:iCs/>
        </w:rPr>
        <w:t xml:space="preserve">daśāśvamedha-</w:t>
      </w:r>
      <w:r>
        <w:t xml:space="preserve"> </w:t>
      </w:r>
      <w:r>
        <w:t xml:space="preserve">réfère à dix sacrifices du cheval, ou à une forme particulière de ce sacrifice, au cours duquel tel ou tel rite était probablement pratiqué dix fois de suite; on trouve de même les composés:</w:t>
      </w:r>
      <w:r>
        <w:t xml:space="preserve"> </w:t>
      </w:r>
      <w:r>
        <w:rPr>
          <w:i/>
          <w:iCs/>
        </w:rPr>
        <w:t xml:space="preserve">dvir-aśvamedha-</w:t>
      </w:r>
      <w:r>
        <w:t xml:space="preserve">,</w:t>
      </w:r>
      <w:r>
        <w:t xml:space="preserve"> </w:t>
      </w:r>
      <w:r>
        <w:rPr>
          <w:i/>
          <w:iCs/>
        </w:rPr>
        <w:t xml:space="preserve">catur-aśvamedha-</w:t>
      </w:r>
      <w:r>
        <w:t xml:space="preserve">,</w:t>
      </w:r>
      <w:r>
        <w:t xml:space="preserve"> </w:t>
      </w:r>
      <w:r>
        <w:rPr>
          <w:i/>
          <w:iCs/>
        </w:rPr>
        <w:t xml:space="preserve">ekādaśâśvamedha-</w:t>
      </w:r>
      <w:r>
        <w:t xml:space="preserve">; cf. Venkataramayya 1956 (EI) pour une discussion concernant ce problème.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fn 862 : Cf. Venkataramayya 1956, p. 61, qui cite, après D.R. Bhandarkar (</w:t>
      </w:r>
      <w:r>
        <w:rPr>
          <w:i/>
          <w:iCs/>
        </w:rPr>
        <w:t xml:space="preserve">Indian Culture</w:t>
      </w:r>
      <w:r>
        <w:t xml:space="preserve">, vol. I, pp. 116-117), un passage du Mbh (</w:t>
      </w:r>
      <w:r>
        <w:rPr>
          <w:i/>
          <w:iCs/>
        </w:rPr>
        <w:t xml:space="preserve">Aśvamedhika-Parvan</w:t>
      </w:r>
      <w:r>
        <w:t xml:space="preserve">,</w:t>
      </w:r>
      <w:r>
        <w:t xml:space="preserve"> </w:t>
      </w:r>
      <w:r>
        <w:rPr>
          <w:i/>
          <w:iCs/>
        </w:rPr>
        <w:t xml:space="preserve">Adhyāya</w:t>
      </w:r>
      <w:r>
        <w:t xml:space="preserve"> </w:t>
      </w:r>
      <w:r>
        <w:t xml:space="preserve">94) où il est fait allusion à ce type de sacrifice :</w:t>
      </w:r>
      <w:r>
        <w:t xml:space="preserve"> </w:t>
      </w:r>
      <w:r>
        <w:rPr>
          <w:i/>
          <w:iCs/>
        </w:rPr>
        <w:t xml:space="preserve">ahīno nāma rajendra kratus te ’yaṁ vikalpavān</w:t>
      </w:r>
      <w:r>
        <w:t xml:space="preserve"> </w:t>
      </w:r>
      <w:r>
        <w:t xml:space="preserve">|</w:t>
      </w:r>
      <w:r>
        <w:t xml:space="preserve"> </w:t>
      </w:r>
      <w:r>
        <w:rPr>
          <w:i/>
          <w:iCs/>
        </w:rPr>
        <w:t xml:space="preserve">bahutvāt kāñcanasyāsya khyāto bahusuvarṇakaḥ</w:t>
      </w:r>
      <w:r>
        <w:t xml:space="preserve"> </w:t>
      </w:r>
      <w:r>
        <w:t xml:space="preserve">||15||, « Ce tien sacrifice accompli, ô Roi des rois, porte le nom d’</w:t>
      </w:r>
      <w:r>
        <w:rPr>
          <w:i/>
          <w:iCs/>
        </w:rPr>
        <w:t xml:space="preserve">ahīna</w:t>
      </w:r>
      <w:r>
        <w:t xml:space="preserve">; parce qu’(on y donne) beaucoup d’or, il est appelé</w:t>
      </w:r>
      <w:r>
        <w:t xml:space="preserve"> </w:t>
      </w:r>
      <w:r>
        <w:rPr>
          <w:i/>
          <w:iCs/>
        </w:rPr>
        <w:t xml:space="preserve">bahusuvarṇaka</w:t>
      </w:r>
      <w:r>
        <w:t xml:space="preserve">. »]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texts/INSPallava003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texts/INSPallava00356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Civaṉ Vāyal, eulogy of Siṁhavarman</dc:title>
  <dc:creator>Emmanuel Francis</dc:creator>
  <cp:keywords/>
  <dcterms:created xsi:type="dcterms:W3CDTF">2026-10-26T16:58:37Z</dcterms:created>
  <dcterms:modified xsi:type="dcterms:W3CDTF">2026-10-26T16:58:37Z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