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Kuṭumiyāmalai, musical inscription 1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DHARMA_INSPallava00022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DHARMA_INSPallava00022.xml</w:t>
      </w:r>
    </w:p>
    <w:p>
      <w:pPr>
        <w:pStyle w:val="BodyText"/>
      </w:pPr>
      <w:r>
        <w:t xml:space="preserve">Languages: Sanskrit [Grantha], Tamil [Grantha, Tamil], Undetermined [Script (unspecified)]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Musical notation.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Initial blessings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t xml:space="preserve">siddhaM namaḥ {|} śivāyaḥ ∥</w:t>
      </w:r>
    </w:p>
    <w:p>
      <w:pPr>
        <w:pStyle w:val="Heading2"/>
      </w:pPr>
      <w:r>
        <w:t xml:space="preserve">Section 1</w:t>
      </w:r>
    </w:p>
    <w:p>
      <w:pPr>
        <w:pStyle w:val="FirstParagraph"/>
      </w:pP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t xml:space="preserve">madhyamagrāme catuṣprahāra-svarāgamāḥ</w:t>
      </w:r>
    </w:p>
    <w:p>
      <w:pPr>
        <w:pStyle w:val="BodyText"/>
      </w:pPr>
      <w:r>
        <w:rPr>
          <w:rStyle w:val="ColorGray"/>
        </w:rPr>
        <w:t xml:space="preserve">⟨B2ff.⟩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Section 2</w:t>
      </w:r>
    </w:p>
    <w:p>
      <w:pPr>
        <w:pStyle w:val="FirstParagraph"/>
      </w:pP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t xml:space="preserve">saḍjagrāme catuṣprahāra-svarāgamāḥ</w:t>
      </w:r>
    </w:p>
    <w:p>
      <w:pPr>
        <w:pStyle w:val="BodyText"/>
      </w:pPr>
      <w:r>
        <w:rPr>
          <w:rStyle w:val="ColorGray"/>
        </w:rPr>
        <w:t xml:space="preserve">⟨C2ff.⟩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Section 3</w:t>
      </w:r>
    </w:p>
    <w:p>
      <w:pPr>
        <w:pStyle w:val="FirstParagraph"/>
      </w:pPr>
      <w:r>
        <w:rPr>
          <w:rStyle w:val="ColorGray"/>
        </w:rPr>
        <w:t xml:space="preserve">⟨D1⟩</w:t>
      </w:r>
      <w:r>
        <w:rPr>
          <w:rStyle w:val="ColorGray"/>
        </w:rPr>
        <w:t xml:space="preserve"> </w:t>
      </w:r>
      <w:r>
        <w:t xml:space="preserve">ṣaḍave catuṣprahāra-sva⟨rā⟩gamāḥ</w:t>
      </w:r>
    </w:p>
    <w:p>
      <w:pPr>
        <w:pStyle w:val="BodyText"/>
      </w:pPr>
      <w:r>
        <w:rPr>
          <w:rStyle w:val="ColorGray"/>
        </w:rPr>
        <w:t xml:space="preserve">⟨D2ff.⟩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Section 4</w:t>
      </w:r>
    </w:p>
    <w:p>
      <w:pPr>
        <w:pStyle w:val="FirstParagraph"/>
      </w:pPr>
      <w:r>
        <w:rPr>
          <w:rStyle w:val="ColorGray"/>
        </w:rPr>
        <w:t xml:space="preserve">⟨E1⟩</w:t>
      </w:r>
      <w:r>
        <w:rPr>
          <w:rStyle w:val="ColorGray"/>
        </w:rPr>
        <w:t xml:space="preserve"> </w:t>
      </w:r>
      <w:r>
        <w:t xml:space="preserve">sādhārite catuṣprahāra-svarāgamāḥ</w:t>
      </w:r>
    </w:p>
    <w:p>
      <w:pPr>
        <w:pStyle w:val="BodyText"/>
      </w:pPr>
      <w:r>
        <w:rPr>
          <w:rStyle w:val="ColorGray"/>
        </w:rPr>
        <w:t xml:space="preserve">⟨E2ff.⟩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Section 5</w:t>
      </w:r>
    </w:p>
    <w:p>
      <w:pPr>
        <w:pStyle w:val="FirstParagraph"/>
      </w:pPr>
      <w:r>
        <w:rPr>
          <w:rStyle w:val="ColorGray"/>
        </w:rPr>
        <w:t xml:space="preserve">⟨F1⟩</w:t>
      </w:r>
      <w:r>
        <w:rPr>
          <w:rStyle w:val="ColorGray"/>
        </w:rPr>
        <w:t xml:space="preserve"> </w:t>
      </w:r>
      <w:r>
        <w:t xml:space="preserve">pañcame catuṣprahāra-svarāgamāḥ</w:t>
      </w:r>
    </w:p>
    <w:p>
      <w:pPr>
        <w:pStyle w:val="BodyText"/>
      </w:pPr>
      <w:r>
        <w:rPr>
          <w:rStyle w:val="ColorGray"/>
        </w:rPr>
        <w:t xml:space="preserve">⟨F2ff.⟩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Section 6</w:t>
      </w:r>
    </w:p>
    <w:p>
      <w:pPr>
        <w:pStyle w:val="FirstParagraph"/>
      </w:pPr>
      <w:r>
        <w:rPr>
          <w:rStyle w:val="ColorGray"/>
        </w:rPr>
        <w:t xml:space="preserve">⟨G1⟩</w:t>
      </w:r>
      <w:r>
        <w:rPr>
          <w:rStyle w:val="ColorGray"/>
        </w:rPr>
        <w:t xml:space="preserve"> </w:t>
      </w:r>
      <w:r>
        <w:t xml:space="preserve">kaiśikamadhyame catuṣprahāra-svarāgamāḥ</w:t>
      </w:r>
    </w:p>
    <w:p>
      <w:pPr>
        <w:pStyle w:val="BodyText"/>
      </w:pPr>
      <w:r>
        <w:rPr>
          <w:rStyle w:val="ColorGray"/>
        </w:rPr>
        <w:t xml:space="preserve">⟨G2ff.⟩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Section 7</w:t>
      </w:r>
    </w:p>
    <w:p>
      <w:pPr>
        <w:pStyle w:val="FirstParagraph"/>
      </w:pPr>
      <w:r>
        <w:rPr>
          <w:rStyle w:val="ColorGray"/>
        </w:rPr>
        <w:t xml:space="preserve">⟨H1⟩</w:t>
      </w:r>
      <w:r>
        <w:rPr>
          <w:rStyle w:val="ColorGray"/>
        </w:rPr>
        <w:t xml:space="preserve"> </w:t>
      </w:r>
      <w:r>
        <w:t xml:space="preserve">kaiśike catuṣprahāra-(sva)rāgamāḥ</w:t>
      </w:r>
    </w:p>
    <w:p>
      <w:pPr>
        <w:pStyle w:val="BodyText"/>
      </w:pPr>
      <w:r>
        <w:rPr>
          <w:rStyle w:val="ColorGray"/>
        </w:rPr>
        <w:t xml:space="preserve">⟨H2ff.⟩</w:t>
      </w:r>
      <w:r>
        <w:rPr>
          <w:rStyle w:val="ColorGray"/>
        </w:rPr>
        <w:t xml:space="preserve"> </w:t>
      </w:r>
      <w:r>
        <w:t xml:space="preserve">… [list of</w:t>
      </w:r>
      <w:r>
        <w:t xml:space="preserve"> </w:t>
      </w:r>
      <w:r>
        <w:rPr>
          <w:i/>
          <w:iCs/>
        </w:rPr>
        <w:t xml:space="preserve">svara</w:t>
      </w:r>
      <w:r>
        <w:t xml:space="preserve">s displayed in columns]</w:t>
      </w:r>
    </w:p>
    <w:p>
      <w:pPr>
        <w:pStyle w:val="Heading2"/>
      </w:pPr>
      <w:r>
        <w:t xml:space="preserve">Coda 1</w:t>
      </w:r>
    </w:p>
    <w:p>
      <w:pPr>
        <w:pStyle w:val="FirstParagraph"/>
      </w:pPr>
      <w:r>
        <w:rPr>
          <w:rStyle w:val="ColorGray"/>
        </w:rPr>
        <w:t xml:space="preserve">⟨I1⟩</w:t>
      </w:r>
      <w:r>
        <w:rPr>
          <w:rStyle w:val="ColorGray"/>
        </w:rPr>
        <w:t xml:space="preserve"> </w:t>
      </w:r>
      <w:r>
        <w:t xml:space="preserve">śrī-rudrācaryya-śiṣyeṇa parama</w:t>
      </w:r>
      <w:r>
        <w:rPr>
          <w:rStyle w:val="ColorGray"/>
        </w:rPr>
        <w:t xml:space="preserve">⟨I2⟩</w:t>
      </w:r>
      <w:r>
        <w:t xml:space="preserve">-māheśva(re)ṇa ra(jñā) śiṣya</w:t>
      </w:r>
      <w:r>
        <w:rPr>
          <w:rStyle w:val="ColorGray"/>
        </w:rPr>
        <w:t xml:space="preserve">⟨I3⟩</w:t>
      </w:r>
      <w:r>
        <w:t xml:space="preserve">-hitārttha⟨ṁ⟩ kr̥tāḥ svarāgamāḥ∥</w:t>
      </w:r>
    </w:p>
    <w:p>
      <w:pPr>
        <w:pStyle w:val="Heading2"/>
      </w:pPr>
      <w:r>
        <w:t xml:space="preserve">Coda 2</w:t>
      </w:r>
    </w:p>
    <w:p>
      <w:pPr>
        <w:pStyle w:val="FirstParagraph"/>
      </w:pPr>
      <w:r>
        <w:rPr>
          <w:rStyle w:val="ColorGray"/>
        </w:rPr>
        <w:t xml:space="preserve">⟨J1⟩</w:t>
      </w:r>
      <w:r>
        <w:rPr>
          <w:rStyle w:val="ColorGray"/>
        </w:rPr>
        <w:t xml:space="preserve"> </w:t>
      </w:r>
      <w:r>
        <w:t xml:space="preserve">Eṭṭiṟkum Ēḻiṟkum Ivai Uriya</w:t>
      </w:r>
      <w:r>
        <w:t xml:space="preserve"> </w:t>
      </w:r>
      <w:r>
        <w:rPr>
          <w:b/>
          <w:bCs/>
        </w:rPr>
        <w:t xml:space="preserve">ḥ</w:t>
      </w:r>
      <w:r>
        <w:t xml:space="preserve"> </w:t>
      </w:r>
      <w:r>
        <w:t xml:space="preserve">∥</w:t>
      </w:r>
    </w:p>
    <w:p>
      <w:pPr>
        <w:pStyle w:val="Heading1"/>
      </w:pPr>
      <w:r>
        <w:t xml:space="preserve">Translation</w:t>
      </w:r>
    </w:p>
    <w:p>
      <w:pPr>
        <w:pStyle w:val="Heading2"/>
      </w:pPr>
      <w:r>
        <w:t xml:space="preserve">Initial blessings</w:t>
      </w:r>
    </w:p>
    <w:p>
      <w:pPr>
        <w:pStyle w:val="FirstParagraph"/>
      </w:pPr>
      <w:r>
        <w:t xml:space="preserve">Perfection. Homage to Śiva.</w:t>
      </w:r>
    </w:p>
    <w:p>
      <w:pPr>
        <w:pStyle w:val="Heading2"/>
      </w:pPr>
      <w:r>
        <w:t xml:space="preserve">Coda 1</w:t>
      </w:r>
    </w:p>
    <w:p>
      <w:pPr>
        <w:pStyle w:val="FirstParagraph"/>
      </w:pPr>
      <w:r>
        <w:t xml:space="preserve">...</w:t>
      </w:r>
    </w:p>
    <w:p>
      <w:pPr>
        <w:pStyle w:val="Heading2"/>
      </w:pPr>
      <w:r>
        <w:t xml:space="preserve">Coda 2</w:t>
      </w:r>
    </w:p>
    <w:p>
      <w:pPr>
        <w:pStyle w:val="FirstParagraph"/>
      </w:pPr>
      <w:r>
        <w:t xml:space="preserve">These</w:t>
      </w:r>
      <w:r>
        <w:rPr>
          <w:rStyle w:val="FootnoteReference"/>
        </w:rPr>
        <w:footnoteReference w:id="9"/>
      </w:r>
      <w:r>
        <w:t xml:space="preserve"> </w:t>
      </w:r>
      <w:r>
        <w:t xml:space="preserve">are appropriate for eight and for seven.</w:t>
      </w:r>
    </w:p>
    <w:p>
      <w:pPr>
        <w:pStyle w:val="Heading1"/>
      </w:pPr>
      <w:r>
        <w:t xml:space="preserve">Translation into French by Brocquet 1997</w:t>
      </w:r>
    </w:p>
    <w:p>
      <w:pPr>
        <w:pStyle w:val="Heading2"/>
      </w:pPr>
      <w:r>
        <w:t xml:space="preserve">Coda 1</w:t>
      </w:r>
    </w:p>
    <w:p>
      <w:pPr>
        <w:pStyle w:val="FirstParagraph"/>
      </w:pPr>
      <w:r>
        <w:t xml:space="preserve">Disciple de Śrī-Rudrācārya, sectateur passionné de Maheśvara, le roi a composé ce traité sur les notes de musique, pour être utile à ses disciples.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1904–05 (ARIE/1904-1905/A/1904/354).</w:t>
      </w:r>
    </w:p>
    <w:p>
      <w:pPr>
        <w:pStyle w:val="BodyText"/>
      </w:pPr>
      <w:r>
        <w:t xml:space="preserve">Edited in Bhandarkar 1913–1914 (EI 12.28). Edited in Vaidyanatha Aiyar &amp; Swaminatha Aiyar 1929 (IPS 2). Text in Mahalingam 1988 (IP 22). Sanskrit text in Brocquet 1997 (B 18). Text and translation in Lockwood</w:t>
      </w:r>
      <w:r>
        <w:t xml:space="preserve"> </w:t>
      </w:r>
      <w:r>
        <w:rPr>
          <w:i/>
          <w:iCs/>
        </w:rPr>
        <w:t xml:space="preserve">et al.</w:t>
      </w:r>
      <w:r>
        <w:t xml:space="preserve"> </w:t>
      </w:r>
      <w:r>
        <w:t xml:space="preserve">2001.</w:t>
      </w:r>
    </w:p>
    <w:p>
      <w:pPr>
        <w:pStyle w:val="BodyText"/>
      </w:pPr>
      <w:r>
        <w:t xml:space="preserve">This partial digital edition by Emmanuel Francis, based on previous edition(s).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[EI]</w:t>
      </w:r>
      <w:r>
        <w:t xml:space="preserve"> </w:t>
      </w:r>
      <w:r>
        <w:t xml:space="preserve">Bhandarkar, P.R. 1913–1914. “Kudumiyamalai inscription on music.” EI 12, pp. 226–237.</w:t>
      </w:r>
    </w:p>
    <w:p>
      <w:pPr>
        <w:pStyle w:val="BodyText"/>
      </w:pPr>
      <w:r>
        <w:rPr>
          <w:b/>
          <w:bCs/>
        </w:rPr>
        <w:t xml:space="preserve">[IPS]</w:t>
      </w:r>
      <w:r>
        <w:t xml:space="preserve"> </w:t>
      </w:r>
      <w:r>
        <w:t xml:space="preserve">Vaidyanatha Aiyar, V. S. &amp; N. Swaminatha Aiyar. 1929.</w:t>
      </w:r>
      <w:r>
        <w:t xml:space="preserve"> </w:t>
      </w:r>
      <w:r>
        <w:rPr>
          <w:i/>
          <w:iCs/>
        </w:rPr>
        <w:t xml:space="preserve">Inscriptions (texts) of the Pudukkottai state arranged according to dynasties</w:t>
      </w:r>
      <w:r>
        <w:t xml:space="preserve">. Pudukkottai: Pudukkottai Darbar. Item 2, pages 1–7.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22, pages 102–110.</w:t>
      </w:r>
    </w:p>
    <w:p>
      <w:pPr>
        <w:pStyle w:val="BodyText"/>
      </w:pPr>
      <w:r>
        <w:rPr>
          <w:b/>
          <w:bCs/>
        </w:rPr>
        <w:t xml:space="preserve">[B]</w:t>
      </w:r>
      <w:r>
        <w:t xml:space="preserve"> </w:t>
      </w:r>
      <w:r>
        <w:t xml:space="preserve">Brocquet, Sylvain. 1997. “Les inscriptions sanskrites des Pallava : poésie, rituel, idéologie.” Thèse de doctorat, Université de la Sorbonne Nouvelle. Paris. Item 18, pages 469–470.</w:t>
      </w:r>
    </w:p>
    <w:p>
      <w:pPr>
        <w:pStyle w:val="BodyText"/>
      </w:pPr>
      <w:r>
        <w:rPr>
          <w:b/>
          <w:bCs/>
        </w:rPr>
        <w:t xml:space="preserve">[L]</w:t>
      </w:r>
      <w:r>
        <w:t xml:space="preserve"> </w:t>
      </w:r>
      <w:r>
        <w:t xml:space="preserve">Lockwood, Michael, Vishnu Bhat A, Gift Siromoney &amp; Dayanandan P. 2001.</w:t>
      </w:r>
      <w:r>
        <w:t xml:space="preserve"> </w:t>
      </w:r>
      <w:r>
        <w:rPr>
          <w:i/>
          <w:iCs/>
        </w:rPr>
        <w:t xml:space="preserve">Pallava art</w:t>
      </w:r>
      <w:r>
        <w:t xml:space="preserve">. Madras, Tambaram: Tambaram Research Associates. Pages 239–253.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1904–05.</w:t>
      </w:r>
      <w:r>
        <w:t xml:space="preserve"> </w:t>
      </w:r>
      <w:r>
        <w:rPr>
          <w:i/>
          <w:iCs/>
        </w:rPr>
        <w:t xml:space="preserve">G.O. No. 518, 18th July 1905. Epigraphy. Recording the annual report of the Government Epigraphist for the year 1904-1905, and directing that the report be forwarded to the government of India</w:t>
      </w:r>
      <w:r>
        <w:t xml:space="preserve">. Edited by V. Venkayya. No place, 1905. Page 11, appendix A/1904, item 354.</w:t>
      </w:r>
    </w:p>
    <w:p>
      <w:pPr>
        <w:pStyle w:val="BodyText"/>
      </w:pPr>
      <w:r>
        <w:t xml:space="preserve">Vaidyanatha Aiyar, V. S. &amp; Swaminatha Aiyar, N. P. 1929.</w:t>
      </w:r>
      <w:r>
        <w:t xml:space="preserve"> </w:t>
      </w:r>
      <w:r>
        <w:rPr>
          <w:i/>
          <w:iCs/>
        </w:rPr>
        <w:t xml:space="preserve">Chronological list of inscriptions of the Pudukkóttai state arranged according to dynasties</w:t>
      </w:r>
      <w:r>
        <w:t xml:space="preserve">. Pudukkottai: Pudukkottai Darbar. Item 2, page TBC.</w:t>
      </w:r>
    </w:p>
    <w:p>
      <w:pPr>
        <w:pStyle w:val="BodyText"/>
      </w:pPr>
      <w:r>
        <w:t xml:space="preserve">Srinivasa Aiyar, K. R. 1941.</w:t>
      </w:r>
      <w:r>
        <w:t xml:space="preserve"> </w:t>
      </w:r>
      <w:r>
        <w:rPr>
          <w:i/>
          <w:iCs/>
        </w:rPr>
        <w:t xml:space="preserve">Inscriptions in the Pudukkóttai state: translated into English. Part I: Early, Pallava and Cola inscriptions</w:t>
      </w:r>
      <w:r>
        <w:t xml:space="preserve">. Pudukkottai: Pudukkottai Darbar. Item 3, pages 3–10.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the</w:t>
      </w:r>
      <w:r>
        <w:t xml:space="preserve"> </w:t>
      </w:r>
      <w:r>
        <w:rPr>
          <w:i/>
          <w:iCs/>
        </w:rPr>
        <w:t xml:space="preserve">svara</w:t>
      </w:r>
      <w:r>
        <w:t xml:space="preserve">s just described.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Kuṭumiyāmalai, musical inscription 1</dc:title>
  <dc:creator>Emmanuel Francis</dc:creator>
  <cp:keywords/>
  <dcterms:created xsi:type="dcterms:W3CDTF">2026-11-06T04:30:47Z</dcterms:created>
  <dcterms:modified xsi:type="dcterms:W3CDTF">2026-11-06T04:30:47Z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