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Foundation of a Dam Called Śilāmaṇi-kuṇḍala (1272 Śaka)</w:t>
      </w:r>
    </w:p>
    <w:p>
      <w:pPr>
        <w:pStyle w:val="Author"/>
      </w:pPr>
      <w:r>
        <w:t xml:space="preserve">Arlo Griffiths</w:t>
      </w:r>
    </w:p>
    <w:p>
      <w:pPr>
        <w:pStyle w:val="FirstParagraph"/>
      </w:pPr>
      <w:r>
        <w:t xml:space="preserve">Author of digital edition: Arlo Griffiths</w:t>
      </w:r>
    </w:p>
    <w:p>
      <w:pPr>
        <w:pStyle w:val="BodyText"/>
      </w:pPr>
      <w:r>
        <w:t xml:space="preserve">Contributors: Arlo Griffiths, Marine Schoettel</w:t>
      </w:r>
    </w:p>
    <w:p>
      <w:pPr>
        <w:pStyle w:val="BodyText"/>
      </w:pPr>
      <w:r>
        <w:t xml:space="preserve">Identifier: DHARMA_INSIDENKSilamanikundala</w:t>
      </w:r>
    </w:p>
    <w:p>
      <w:pPr>
        <w:pStyle w:val="BodyText"/>
      </w:pPr>
      <w:r>
        <w:t xml:space="preserve">Repository: Nusantara Epigraphy (tfc-nusantara-epigraphy)</w:t>
      </w:r>
    </w:p>
    <w:p>
      <w:pPr>
        <w:pStyle w:val="BodyText"/>
      </w:pPr>
      <w:r>
        <w:t xml:space="preserve">File path: xml/DHARMA_INSIDENKSilamanikundala.xml</w:t>
      </w:r>
    </w:p>
    <w:p>
      <w:pPr>
        <w:pStyle w:val="BodyText"/>
      </w:pPr>
      <w:r>
        <w:t xml:space="preserve">Languages: Old Javanese [Kawi], Sanskrit [Script (unspecified)]</w:t>
      </w:r>
    </w:p>
    <w:p>
      <w:pPr>
        <w:pStyle w:val="BodyText"/>
      </w:pPr>
      <w:r>
        <w:t xml:space="preserve">Commit: 2026-09-25 06:15 (19d0d3f), last modified 2026-09-09 14:27 (72454d8)</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 svast[i] śaka-va[r]ṣ</w:t>
      </w:r>
      <w:r>
        <w:rPr>
          <w:rStyle w:val="ColorMagenta"/>
        </w:rPr>
        <w:t xml:space="preserve">¡a!</w:t>
      </w:r>
      <w:r>
        <w:rPr>
          <w:rStyle w:val="ColorBlue"/>
        </w:rPr>
        <w:t xml:space="preserve">⟨ā⟩</w:t>
      </w:r>
      <w:r>
        <w:t xml:space="preserve">t[</w:t>
      </w:r>
      <w:r>
        <w:rPr>
          <w:rStyle w:val="ColorMagenta"/>
        </w:rPr>
        <w:t xml:space="preserve">¡i!</w:t>
      </w:r>
      <w:r>
        <w:rPr>
          <w:rStyle w:val="ColorBlue"/>
        </w:rPr>
        <w:t xml:space="preserve">⟨ī⟩</w:t>
      </w:r>
      <w:r>
        <w:t xml:space="preserve">]ta, 1272, m</w:t>
      </w:r>
      <w:r>
        <w:rPr>
          <w:rStyle w:val="ColorMagenta"/>
        </w:rPr>
        <w:t xml:space="preserve">¡a!</w:t>
      </w:r>
      <w:r>
        <w:rPr>
          <w:rStyle w:val="ColorBlue"/>
        </w:rPr>
        <w:t xml:space="preserve">⟨ā⟩</w:t>
      </w:r>
      <w:r>
        <w:t xml:space="preserve">[r]gaś[i]ra-māsa, tithi pañcadaś(i), śukla-pakṣ(ā),</w:t>
      </w:r>
      <w:r>
        <w:rPr>
          <w:rStyle w:val="ColorGray"/>
        </w:rPr>
        <w:t xml:space="preserve"> </w:t>
      </w:r>
      <w:r>
        <w:rPr>
          <w:rStyle w:val="ColorGray"/>
        </w:rPr>
        <w:t xml:space="preserve">⟨2⟩</w:t>
      </w:r>
      <w:r>
        <w:rPr>
          <w:rStyle w:val="ColorGray"/>
        </w:rPr>
        <w:t xml:space="preserve"> </w:t>
      </w:r>
      <w:r>
        <w:rPr>
          <w:rStyle w:val="ColorBrown"/>
        </w:rPr>
        <w:t xml:space="preserve">ma</w:t>
      </w:r>
      <w:r>
        <w:t xml:space="preserve">,</w:t>
      </w:r>
      <w:r>
        <w:t xml:space="preserve"> </w:t>
      </w:r>
      <w:r>
        <w:rPr>
          <w:rStyle w:val="ColorBrown"/>
        </w:rPr>
        <w:t xml:space="preserve">va</w:t>
      </w:r>
      <w:r>
        <w:t xml:space="preserve">,</w:t>
      </w:r>
      <w:r>
        <w:t xml:space="preserve"> </w:t>
      </w:r>
      <w:r>
        <w:rPr>
          <w:rStyle w:val="ColorBrown"/>
        </w:rPr>
        <w:t xml:space="preserve">Ă⟨ṁ⟩</w:t>
      </w:r>
      <w:r>
        <w:t xml:space="preserve">, vāra, pahaṁ,</w:t>
      </w:r>
    </w:p>
    <w:p>
      <w:pPr>
        <w:pStyle w:val="BodyText"/>
      </w:pPr>
      <w:r>
        <w:t xml:space="preserve">Irikā divaśanika sampu⟨r⟩(ṇna)nikana(ṁ) ravuhan· śil</w:t>
      </w:r>
      <w:r>
        <w:rPr>
          <w:rStyle w:val="ColorMagenta"/>
        </w:rPr>
        <w:t xml:space="preserve">¡a!</w:t>
      </w:r>
      <w:r>
        <w:rPr>
          <w:rStyle w:val="ColorBlue"/>
        </w:rPr>
        <w:t xml:space="preserve">⟨ā⟩</w:t>
      </w:r>
      <w:r>
        <w:t xml:space="preserve">ma(ṇ)i</w:t>
      </w:r>
      <w:r>
        <w:rPr>
          <w:rStyle w:val="ColorGray"/>
        </w:rPr>
        <w:t xml:space="preserve">⟨3⟩</w:t>
      </w:r>
      <w:r>
        <w:t xml:space="preserve">-(ku)ṇḍala de rakryan· dəmuṁ, saṁ matiṁbun· raṅgaḥ</w:t>
      </w:r>
      <w:r>
        <w:t xml:space="preserve"> </w:t>
      </w:r>
      <w:r>
        <w:rPr>
          <w:rStyle w:val="ColorRed"/>
        </w:rPr>
        <w:t xml:space="preserve">¿supva?</w:t>
      </w:r>
      <w:r>
        <w:rPr>
          <w:rStyle w:val="ColorGreen"/>
        </w:rPr>
        <w:t xml:space="preserve">⟨sapu⟩</w:t>
      </w:r>
      <w:r>
        <w:t xml:space="preserve">, makamaṅgal(ā) ra kakiṅ amūrvva</w:t>
      </w:r>
      <w:r>
        <w:rPr>
          <w:rStyle w:val="ColorGray"/>
        </w:rPr>
        <w:t xml:space="preserve">⟨4⟩</w:t>
      </w:r>
      <w:r>
        <w:t xml:space="preserve">bumi, maparivāra raṅgah avar-avar·, (muva)⟨ḥ⟩ saṅ apañji pupon·</w:t>
      </w:r>
    </w:p>
    <w:p>
      <w:pPr>
        <w:pStyle w:val="BodyText"/>
      </w:pPr>
      <w:r>
        <w:t xml:space="preserve">ma⟨ṁ⟩(ka)na saṅ(ā)jñā</w:t>
      </w:r>
      <w:r>
        <w:rPr>
          <w:rStyle w:val="ColorGray"/>
        </w:rPr>
        <w:t xml:space="preserve"> </w:t>
      </w:r>
      <w:r>
        <w:rPr>
          <w:rStyle w:val="ColorGray"/>
        </w:rPr>
        <w:t xml:space="preserve">⟨5⟩</w:t>
      </w:r>
      <w:r>
        <w:rPr>
          <w:rStyle w:val="ColorGray"/>
        </w:rPr>
        <w:t xml:space="preserve"> </w:t>
      </w:r>
      <w:r>
        <w:t xml:space="preserve">p</w:t>
      </w:r>
      <w:r>
        <w:rPr>
          <w:rStyle w:val="ColorMagenta"/>
        </w:rPr>
        <w:t xml:space="preserve">¡a!</w:t>
      </w:r>
      <w:r>
        <w:rPr>
          <w:rStyle w:val="ColorBlue"/>
        </w:rPr>
        <w:t xml:space="preserve">⟨ā⟩</w:t>
      </w:r>
      <w:r>
        <w:t xml:space="preserve">duka ba(ṭāre) matahun· śr</w:t>
      </w:r>
      <w:r>
        <w:rPr>
          <w:rStyle w:val="ColorMagenta"/>
        </w:rPr>
        <w:t xml:space="preserve">¡i!</w:t>
      </w:r>
      <w:r>
        <w:rPr>
          <w:rStyle w:val="ColorBlue"/>
        </w:rPr>
        <w:t xml:space="preserve">⟨ī⟩</w:t>
      </w:r>
      <w:r>
        <w:t xml:space="preserve"> </w:t>
      </w:r>
      <w:r>
        <w:t xml:space="preserve">baṭāra vijayarājas</w:t>
      </w:r>
      <w:r>
        <w:rPr>
          <w:rStyle w:val="ColorMagenta"/>
        </w:rPr>
        <w:t xml:space="preserve">¡a!</w:t>
      </w:r>
      <w:r>
        <w:rPr>
          <w:rStyle w:val="ColorBlue"/>
        </w:rPr>
        <w:t xml:space="preserve">⟨ā⟩</w:t>
      </w:r>
      <w:r>
        <w:t xml:space="preserve">nantavikramottuṅga</w:t>
      </w:r>
      <w:r>
        <w:rPr>
          <w:rStyle w:val="ColorGray"/>
        </w:rPr>
        <w:t xml:space="preserve">⟨6⟩</w:t>
      </w:r>
      <w:r>
        <w:t xml:space="preserve">deva,</w:t>
      </w:r>
      <w:r>
        <w:t xml:space="preserve"> </w:t>
      </w:r>
      <w:r>
        <w:rPr>
          <w:i/>
          <w:iCs/>
        </w:rPr>
        <w:t xml:space="preserve">jagadḍitahetu</w:t>
      </w:r>
      <w:r>
        <w:t xml:space="preserve">, magavaya sukani para sāmya sakahavat· luraḥ</w:t>
      </w:r>
      <w:r>
        <w:rPr>
          <w:rStyle w:val="ColorGray"/>
        </w:rPr>
        <w:t xml:space="preserve"> </w:t>
      </w:r>
      <w:r>
        <w:rPr>
          <w:rStyle w:val="ColorGray"/>
        </w:rPr>
        <w:t xml:space="preserve">⟨7⟩</w:t>
      </w:r>
      <w:r>
        <w:rPr>
          <w:rStyle w:val="ColorGray"/>
        </w:rPr>
        <w:t xml:space="preserve"> </w:t>
      </w:r>
      <w:r>
        <w:t xml:space="preserve">vetan i daha, ma{ma}ṅka(n)ābilāsa pāduka baṭāre matahun a(ma)</w:t>
      </w:r>
      <w:r>
        <w:rPr>
          <w:rStyle w:val="ColorGray"/>
        </w:rPr>
        <w:t xml:space="preserve">⟨8⟩</w:t>
      </w:r>
      <w:r>
        <w:t xml:space="preserve">ṅun k</w:t>
      </w:r>
      <w:r>
        <w:rPr>
          <w:rStyle w:val="ColorMagenta"/>
        </w:rPr>
        <w:t xml:space="preserve">¡i!</w:t>
      </w:r>
      <w:r>
        <w:rPr>
          <w:rStyle w:val="ColorBlue"/>
        </w:rPr>
        <w:t xml:space="preserve">⟨ī⟩</w:t>
      </w:r>
      <w:r>
        <w:t xml:space="preserve">(r)ttyanurāgātmaka kas</w:t>
      </w:r>
      <w:r>
        <w:rPr>
          <w:rStyle w:val="ColorRed"/>
        </w:rPr>
        <w:t xml:space="preserve">¿a?</w:t>
      </w:r>
      <w:r>
        <w:rPr>
          <w:rStyle w:val="ColorGreen"/>
        </w:rPr>
        <w:t xml:space="preserve">⟨u⟩</w:t>
      </w:r>
      <w:r>
        <w:t xml:space="preserve">kaniṁ rāt·, raṅga sapu karo viku pakṣa samp</w:t>
      </w:r>
      <w:r>
        <w:rPr>
          <w:rStyle w:val="ColorMagenta"/>
        </w:rPr>
        <w:t xml:space="preserve">¡u!</w:t>
      </w:r>
      <w:r>
        <w:rPr>
          <w:rStyle w:val="ColorBlue"/>
        </w:rPr>
        <w:t xml:space="preserve">⟨ū⟩</w:t>
      </w:r>
      <w:r>
        <w:t xml:space="preserve">rṇna</w:t>
      </w:r>
      <w:r>
        <w:rPr>
          <w:rStyle w:val="ColorGray"/>
        </w:rPr>
        <w:t xml:space="preserve">⟨9⟩</w:t>
      </w:r>
      <w:r>
        <w:t xml:space="preserve">ni ravuhan· ∥</w:t>
      </w:r>
      <w:r>
        <w:t xml:space="preserve"> </w:t>
      </w:r>
      <w:r>
        <w:rPr>
          <w:i/>
          <w:iCs/>
        </w:rPr>
        <w:t xml:space="preserve">sidḍir astu ∥</w:t>
      </w:r>
    </w:p>
    <w:p>
      <w:pPr>
        <w:pStyle w:val="BodyText"/>
      </w:pPr>
      <w:r>
        <w:t xml:space="preserve">(A)mānuṣa kadarśan</w:t>
      </w:r>
      <w:r>
        <w:rPr>
          <w:rStyle w:val="ColorMagenta"/>
        </w:rPr>
        <w:t xml:space="preserve">¡i!</w:t>
      </w:r>
      <w:r>
        <w:rPr>
          <w:rStyle w:val="ColorBlue"/>
        </w:rPr>
        <w:t xml:space="preserve">⟨ī⟩</w:t>
      </w:r>
      <w:r>
        <w:t xml:space="preserve">yanikanaṁ yaśa ra</w:t>
      </w:r>
      <w:r>
        <w:rPr>
          <w:rStyle w:val="ColorGray"/>
        </w:rPr>
        <w:t xml:space="preserve">⟨10⟩</w:t>
      </w:r>
      <w:r>
        <w:t xml:space="preserve">vuhan atǐtadurgga mahaL̥p·, tlas maparip</w:t>
      </w:r>
      <w:r>
        <w:rPr>
          <w:rStyle w:val="ColorMagenta"/>
        </w:rPr>
        <w:t xml:space="preserve">¡u!</w:t>
      </w:r>
      <w:r>
        <w:rPr>
          <w:rStyle w:val="ColorBlue"/>
        </w:rPr>
        <w:t xml:space="preserve">⟨ū⟩</w:t>
      </w:r>
      <w:r>
        <w:t xml:space="preserve">rṇna de rasika raṅ⟨g⟩a sapu tu</w:t>
      </w:r>
      <w:r>
        <w:rPr>
          <w:rStyle w:val="ColorGray"/>
        </w:rPr>
        <w:t xml:space="preserve">⟨11⟩</w:t>
      </w:r>
      <w:r>
        <w:t xml:space="preserve">hu vidagḍa tiṅkahiṅ ula(ḥ), ndatan· sah aṅaran· pupon rasika pa</w:t>
      </w:r>
      <w:r>
        <w:rPr>
          <w:rStyle w:val="ColorGray"/>
        </w:rPr>
        <w:t xml:space="preserve">⟨12⟩</w:t>
      </w:r>
      <w:r>
        <w:t xml:space="preserve">ñji pinuji-puji s</w:t>
      </w:r>
      <w:r>
        <w:rPr>
          <w:rStyle w:val="ColorMagenta"/>
        </w:rPr>
        <w:t xml:space="preserve">¡a!</w:t>
      </w:r>
      <w:r>
        <w:rPr>
          <w:rStyle w:val="ColorBlue"/>
        </w:rPr>
        <w:t xml:space="preserve">⟨ā⟩</w:t>
      </w:r>
      <w:r>
        <w:rPr>
          <w:rStyle w:val="ColorRed"/>
        </w:rPr>
        <w:t xml:space="preserve">¿v?</w:t>
      </w:r>
      <w:r>
        <w:rPr>
          <w:rStyle w:val="ColorGreen"/>
        </w:rPr>
        <w:t xml:space="preserve">⟨dh⟩</w:t>
      </w:r>
      <w:r>
        <w:t xml:space="preserve">u śakti guṇav</w:t>
      </w:r>
      <w:r>
        <w:rPr>
          <w:rStyle w:val="ColorMagenta"/>
        </w:rPr>
        <w:t xml:space="preserve">¡a!</w:t>
      </w:r>
      <w:r>
        <w:rPr>
          <w:rStyle w:val="ColorBlue"/>
        </w:rPr>
        <w:t xml:space="preserve">⟨ā⟩</w:t>
      </w:r>
      <w:r>
        <w:t xml:space="preserve">n· vnaṁ gumavaya, I saṁ prabu tama</w:t>
      </w:r>
      <w:r>
        <w:rPr>
          <w:rStyle w:val="ColorGray"/>
        </w:rPr>
        <w:t xml:space="preserve">⟨13⟩</w:t>
      </w:r>
      <w:r>
        <w:t xml:space="preserve">n· paL̥-paL̥h inutusnira narapati ∥</w:t>
      </w:r>
    </w:p>
    <w:p>
      <w:pPr>
        <w:pStyle w:val="BodyText"/>
      </w:pPr>
      <w:r>
        <w:t xml:space="preserve">yaśātiśaya śobitāhaL̥</w:t>
      </w:r>
      <w:r>
        <w:rPr>
          <w:rStyle w:val="ColorGray"/>
        </w:rPr>
        <w:t xml:space="preserve">⟨14⟩</w:t>
      </w:r>
      <w:r>
        <w:t xml:space="preserve">p a</w:t>
      </w:r>
      <w:r>
        <w:rPr>
          <w:rStyle w:val="ColorRed"/>
        </w:rPr>
        <w:t xml:space="preserve">¿susaṁ?</w:t>
      </w:r>
      <w:r>
        <w:rPr>
          <w:rStyle w:val="ColorGreen"/>
        </w:rPr>
        <w:t xml:space="preserve">⟨suṁ pa⟩</w:t>
      </w:r>
      <w:r>
        <w:t xml:space="preserve">ramasukanikaṁ janāsiṅ umulat·, si⟨ra⟩ ra(kv)a tika(ṁ) rakṣa ni</w:t>
      </w:r>
      <w:r>
        <w:rPr>
          <w:rStyle w:val="ColorGray"/>
        </w:rPr>
        <w:t xml:space="preserve">⟨15⟩</w:t>
      </w:r>
      <w:r>
        <w:t xml:space="preserve">tya pamul(i)ḥ kali maravuhan ardḍaparṇna mapagəḥ ∥</w:t>
      </w:r>
    </w:p>
    <w:p>
      <w:pPr>
        <w:pStyle w:val="BodyText"/>
      </w:pPr>
      <w:r>
        <w:t xml:space="preserve">mavāṣ rakṣa</w:t>
      </w:r>
      <w:r>
        <w:rPr>
          <w:rStyle w:val="ColorGray"/>
        </w:rPr>
        <w:t xml:space="preserve">⟨16⟩</w:t>
      </w:r>
      <w:r>
        <w:t xml:space="preserve">ti śevadharmma ri ⟨⟨nar</w:t>
      </w:r>
      <w:r>
        <w:rPr>
          <w:rStyle w:val="ColorMagenta"/>
        </w:rPr>
        <w:t xml:space="preserve">¡a!</w:t>
      </w:r>
      <w:r>
        <w:rPr>
          <w:rStyle w:val="ColorBlue"/>
        </w:rPr>
        <w:t xml:space="preserve">⟨ā⟩</w:t>
      </w:r>
      <w:r>
        <w:t xml:space="preserve">⟩⟩ḍipa haṅu-haṁṅun (d)e panon· saṅ</w:t>
      </w:r>
      <w:r>
        <w:t xml:space="preserve"> </w:t>
      </w:r>
      <w:r>
        <w:rPr>
          <w:rStyle w:val="ColorRed"/>
        </w:rPr>
        <w:t xml:space="preserve">¿u?</w:t>
      </w:r>
      <w:r>
        <w:rPr>
          <w:rStyle w:val="ColorGreen"/>
        </w:rPr>
        <w:t xml:space="preserve">⟨a⟩</w:t>
      </w:r>
      <w:r>
        <w:t xml:space="preserve">hulun·</w:t>
      </w:r>
      <w:r>
        <w:rPr>
          <w:rStyle w:val="ColorGray"/>
        </w:rPr>
        <w:t xml:space="preserve"> </w:t>
      </w:r>
      <w:r>
        <w:rPr>
          <w:rStyle w:val="ColorGray"/>
        </w:rPr>
        <w:t xml:space="preserve">⟨17⟩</w:t>
      </w:r>
      <w:r>
        <w:rPr>
          <w:rStyle w:val="ColorGray"/>
        </w:rPr>
        <w:t xml:space="preserve"> </w:t>
      </w:r>
      <w:r>
        <w:t xml:space="preserve">ndatan (p)avkasan·, huvus makaṅaran· kəta śil</w:t>
      </w:r>
      <w:r>
        <w:rPr>
          <w:rStyle w:val="ColorMagenta"/>
        </w:rPr>
        <w:t xml:space="preserve">¡a!</w:t>
      </w:r>
      <w:r>
        <w:rPr>
          <w:rStyle w:val="ColorBlue"/>
        </w:rPr>
        <w:t xml:space="preserve">⟨ā⟩</w:t>
      </w:r>
      <w:r>
        <w:t xml:space="preserve">maṇi-kuṇḍala pra</w:t>
      </w:r>
      <w:r>
        <w:rPr>
          <w:rStyle w:val="ColorGray"/>
        </w:rPr>
        <w:t xml:space="preserve">⟨18⟩</w:t>
      </w:r>
      <w:r>
        <w:t xml:space="preserve">k</w:t>
      </w:r>
      <w:r>
        <w:rPr>
          <w:rStyle w:val="ColorMagenta"/>
        </w:rPr>
        <w:t xml:space="preserve">¡a!</w:t>
      </w:r>
      <w:r>
        <w:rPr>
          <w:rStyle w:val="ColorBlue"/>
        </w:rPr>
        <w:t xml:space="preserve">⟨ā⟩</w:t>
      </w:r>
      <w:r>
        <w:t xml:space="preserve">śita</w:t>
      </w:r>
    </w:p>
    <w:p>
      <w:pPr>
        <w:pStyle w:val="Heading1"/>
      </w:pPr>
      <w:r>
        <w:t xml:space="preserve">Apparatus</w:t>
      </w:r>
    </w:p>
    <w:p>
      <w:pPr>
        <w:pStyle w:val="FirstParagraph"/>
      </w:pPr>
      <w:r>
        <w:rPr>
          <w:rStyle w:val="ColorGray"/>
        </w:rPr>
        <w:t xml:space="preserve">⟨2⟩</w:t>
      </w:r>
      <w:r>
        <w:t xml:space="preserve"> </w:t>
      </w:r>
      <w:r>
        <w:rPr>
          <w:rStyle w:val="ColorBrown"/>
        </w:rPr>
        <w:t xml:space="preserve">Ă</w:t>
      </w:r>
      <w:r>
        <w:t xml:space="preserve"> </w:t>
      </w:r>
      <w:r>
        <w:t xml:space="preserve">⬦</w:t>
      </w:r>
      <w:r>
        <w:t xml:space="preserve"> </w:t>
      </w:r>
      <w:r>
        <w:rPr>
          <w:rStyle w:val="ColorGreen"/>
          <w:i/>
          <w:iCs/>
        </w:rPr>
        <w:t xml:space="preserve">Ā</w:t>
      </w:r>
      <w:r>
        <w:t xml:space="preserve"> </w:t>
      </w:r>
      <w:r>
        <w:t xml:space="preserve">SC. —</w:t>
      </w:r>
      <w:r>
        <w:t xml:space="preserve"> </w:t>
      </w:r>
      <w:r>
        <w:rPr>
          <w:rStyle w:val="ColorGray"/>
        </w:rPr>
        <w:t xml:space="preserve">⟨2⟩</w:t>
      </w:r>
      <w:r>
        <w:t xml:space="preserve"> </w:t>
      </w:r>
      <w:r>
        <w:t xml:space="preserve">pahaṁ ⬦</w:t>
      </w:r>
      <w:r>
        <w:t xml:space="preserve"> </w:t>
      </w:r>
      <w:r>
        <w:rPr>
          <w:rStyle w:val="ColorGreen"/>
          <w:i/>
          <w:iCs/>
        </w:rPr>
        <w:t xml:space="preserve">pahāṁ</w:t>
      </w:r>
      <w:r>
        <w:t xml:space="preserve"> </w:t>
      </w:r>
      <w:r>
        <w:t xml:space="preserve">SC. —</w:t>
      </w:r>
      <w:r>
        <w:t xml:space="preserve"> </w:t>
      </w:r>
      <w:r>
        <w:rPr>
          <w:rStyle w:val="ColorGray"/>
        </w:rPr>
        <w:t xml:space="preserve">⟨2⟩</w:t>
      </w:r>
      <w:r>
        <w:t xml:space="preserve"> </w:t>
      </w:r>
      <w:r>
        <w:t xml:space="preserve">divaśanika sampu⟨r⟩(ṇna)nikana(ṁ) ⬦</w:t>
      </w:r>
      <w:r>
        <w:t xml:space="preserve"> </w:t>
      </w:r>
      <w:r>
        <w:rPr>
          <w:rStyle w:val="ColorGreen"/>
          <w:i/>
          <w:iCs/>
        </w:rPr>
        <w:t xml:space="preserve">divaśa (ni) kasampurnnanikanaṅ</w:t>
      </w:r>
      <w:r>
        <w:t xml:space="preserve"> </w:t>
      </w:r>
      <w:r>
        <w:t xml:space="preserve">SC. —</w:t>
      </w:r>
      <w:r>
        <w:t xml:space="preserve"> </w:t>
      </w:r>
      <w:r>
        <w:rPr>
          <w:rStyle w:val="ColorGray"/>
        </w:rPr>
        <w:t xml:space="preserve">⟨2⟩</w:t>
      </w:r>
      <w:r>
        <w:t xml:space="preserve"> </w:t>
      </w:r>
      <w:r>
        <w:t xml:space="preserve">śil</w:t>
      </w:r>
      <w:r>
        <w:rPr>
          <w:rStyle w:val="ColorMagenta"/>
        </w:rPr>
        <w:t xml:space="preserve">¡a!</w:t>
      </w:r>
      <w:r>
        <w:rPr>
          <w:rStyle w:val="ColorBlue"/>
        </w:rPr>
        <w:t xml:space="preserve">⟨ā⟩</w:t>
      </w:r>
      <w:r>
        <w:t xml:space="preserve">ma(ṇ)i</w:t>
      </w:r>
      <w:r>
        <w:rPr>
          <w:rStyle w:val="ColorGray"/>
        </w:rPr>
        <w:t xml:space="preserve">⟨3⟩</w:t>
      </w:r>
      <w:r>
        <w:t xml:space="preserve">-(ku)ṇḍala ⬦</w:t>
      </w:r>
      <w:r>
        <w:t xml:space="preserve"> </w:t>
      </w:r>
      <w:r>
        <w:rPr>
          <w:rStyle w:val="ColorGreen"/>
          <w:i/>
          <w:iCs/>
        </w:rPr>
        <w:t xml:space="preserve">śilamat i kuśmala</w:t>
      </w:r>
      <w:r>
        <w:t xml:space="preserve"> </w:t>
      </w:r>
      <w:r>
        <w:t xml:space="preserve">SC • Here and in line 17, the correct reading is quite clearly with</w:t>
      </w:r>
      <w:r>
        <w:t xml:space="preserve"> </w:t>
      </w:r>
      <w:r>
        <w:rPr>
          <w:i/>
          <w:iCs/>
        </w:rPr>
        <w:t xml:space="preserve">ṇ</w:t>
      </w:r>
      <w:r>
        <w:t xml:space="preserve"> </w:t>
      </w:r>
      <w:r>
        <w:t xml:space="preserve">and</w:t>
      </w:r>
      <w:r>
        <w:t xml:space="preserve"> </w:t>
      </w:r>
      <w:r>
        <w:rPr>
          <w:i/>
          <w:iCs/>
        </w:rPr>
        <w:t xml:space="preserve">ṇḍ</w:t>
      </w:r>
      <w:r>
        <w:t xml:space="preserve"> </w:t>
      </w:r>
      <w:r>
        <w:t xml:space="preserve">instead of</w:t>
      </w:r>
      <w:r>
        <w:t xml:space="preserve"> </w:t>
      </w:r>
      <w:r>
        <w:rPr>
          <w:i/>
          <w:iCs/>
        </w:rPr>
        <w:t xml:space="preserve">t</w:t>
      </w:r>
      <w:r>
        <w:t xml:space="preserve"> </w:t>
      </w:r>
      <w:r>
        <w:t xml:space="preserve">and</w:t>
      </w:r>
      <w:r>
        <w:t xml:space="preserve"> </w:t>
      </w:r>
      <w:r>
        <w:rPr>
          <w:i/>
          <w:iCs/>
        </w:rPr>
        <w:t xml:space="preserve">śm</w:t>
      </w:r>
      <w:r>
        <w:t xml:space="preserve">.</w:t>
      </w:r>
    </w:p>
    <w:p>
      <w:pPr>
        <w:pStyle w:val="BodyText"/>
      </w:pPr>
      <w:r>
        <w:rPr>
          <w:rStyle w:val="ColorGray"/>
        </w:rPr>
        <w:t xml:space="preserve">⟨3⟩</w:t>
      </w:r>
      <w:r>
        <w:t xml:space="preserve"> </w:t>
      </w:r>
      <w:r>
        <w:t xml:space="preserve">matiṁbun· ⬦</w:t>
      </w:r>
      <w:r>
        <w:t xml:space="preserve"> </w:t>
      </w:r>
      <w:r>
        <w:rPr>
          <w:rStyle w:val="ColorGreen"/>
          <w:i/>
          <w:iCs/>
        </w:rPr>
        <w:t xml:space="preserve">martabun·</w:t>
      </w:r>
      <w:r>
        <w:t xml:space="preserve"> </w:t>
      </w:r>
      <w:r>
        <w:t xml:space="preserve">SC. —</w:t>
      </w:r>
      <w:r>
        <w:t xml:space="preserve"> </w:t>
      </w:r>
      <w:r>
        <w:rPr>
          <w:rStyle w:val="ColorGray"/>
        </w:rPr>
        <w:t xml:space="preserve">⟨3⟩</w:t>
      </w:r>
      <w:r>
        <w:t xml:space="preserve"> </w:t>
      </w:r>
      <w:r>
        <w:t xml:space="preserve">raṅgaḥ</w:t>
      </w:r>
      <w:r>
        <w:t xml:space="preserve"> </w:t>
      </w:r>
      <w:r>
        <w:rPr>
          <w:rStyle w:val="ColorRed"/>
        </w:rPr>
        <w:t xml:space="preserve">¿supva?</w:t>
      </w:r>
      <w:r>
        <w:rPr>
          <w:rStyle w:val="ColorGreen"/>
        </w:rPr>
        <w:t xml:space="preserve">⟨sapu⟩</w:t>
      </w:r>
      <w:r>
        <w:t xml:space="preserve"> </w:t>
      </w:r>
      <w:r>
        <w:t xml:space="preserve">⬦</w:t>
      </w:r>
      <w:r>
        <w:t xml:space="preserve"> </w:t>
      </w:r>
      <w:r>
        <w:rPr>
          <w:rStyle w:val="ColorGreen"/>
          <w:i/>
          <w:iCs/>
        </w:rPr>
        <w:t xml:space="preserve">raṅga sapu</w:t>
      </w:r>
      <w:r>
        <w:t xml:space="preserve"> </w:t>
      </w:r>
      <w:r>
        <w:t xml:space="preserve">SC • The correction to</w:t>
      </w:r>
      <w:r>
        <w:t xml:space="preserve"> </w:t>
      </w:r>
      <w:r>
        <w:rPr>
          <w:i/>
          <w:iCs/>
        </w:rPr>
        <w:t xml:space="preserve">sapu</w:t>
      </w:r>
      <w:r>
        <w:t xml:space="preserve"> </w:t>
      </w:r>
      <w:r>
        <w:t xml:space="preserve">seems to be imposed by the reoccurrence of the same person in lines 8 and 10. Whether the spelling of the first element as</w:t>
      </w:r>
      <w:r>
        <w:t xml:space="preserve"> </w:t>
      </w:r>
      <w:r>
        <w:rPr>
          <w:i/>
          <w:iCs/>
        </w:rPr>
        <w:t xml:space="preserve">raṅgaḥ</w:t>
      </w:r>
      <w:r>
        <w:t xml:space="preserve"> </w:t>
      </w:r>
      <w:r>
        <w:t xml:space="preserve">or</w:t>
      </w:r>
      <w:r>
        <w:t xml:space="preserve"> </w:t>
      </w:r>
      <w:r>
        <w:rPr>
          <w:i/>
          <w:iCs/>
        </w:rPr>
        <w:t xml:space="preserve">raṅga</w:t>
      </w:r>
      <w:r>
        <w:t xml:space="preserve"> </w:t>
      </w:r>
      <w:r>
        <w:t xml:space="preserve">is preferable is to determine. —</w:t>
      </w:r>
      <w:r>
        <w:t xml:space="preserve"> </w:t>
      </w:r>
      <w:r>
        <w:rPr>
          <w:rStyle w:val="ColorGray"/>
        </w:rPr>
        <w:t xml:space="preserve">⟨3⟩</w:t>
      </w:r>
      <w:r>
        <w:t xml:space="preserve"> </w:t>
      </w:r>
      <w:r>
        <w:t xml:space="preserve">ra kakiṅ amūrvva</w:t>
      </w:r>
      <w:r>
        <w:rPr>
          <w:rStyle w:val="ColorGray"/>
        </w:rPr>
        <w:t xml:space="preserve">⟨4⟩</w:t>
      </w:r>
      <w:r>
        <w:t xml:space="preserve">bumi ⬦</w:t>
      </w:r>
      <w:r>
        <w:t xml:space="preserve"> </w:t>
      </w:r>
      <w:r>
        <w:rPr>
          <w:rStyle w:val="ColorGreen"/>
          <w:i/>
          <w:iCs/>
        </w:rPr>
        <w:t xml:space="preserve">rakaki ṅamurvva bumi</w:t>
      </w:r>
      <w:r>
        <w:t xml:space="preserve"> </w:t>
      </w:r>
      <w:r>
        <w:t xml:space="preserve">SC.</w:t>
      </w:r>
    </w:p>
    <w:p>
      <w:pPr>
        <w:pStyle w:val="BodyText"/>
      </w:pPr>
      <w:r>
        <w:rPr>
          <w:rStyle w:val="ColorGray"/>
        </w:rPr>
        <w:t xml:space="preserve">⟨4⟩</w:t>
      </w:r>
      <w:r>
        <w:t xml:space="preserve"> </w:t>
      </w:r>
      <w:r>
        <w:t xml:space="preserve">(muva)⟨ḥ⟩ ⬦</w:t>
      </w:r>
      <w:r>
        <w:t xml:space="preserve"> </w:t>
      </w:r>
      <w:r>
        <w:rPr>
          <w:rStyle w:val="ColorGreen"/>
          <w:i/>
          <w:iCs/>
        </w:rPr>
        <w:t xml:space="preserve">(ju/mu)[1*]</w:t>
      </w:r>
      <w:r>
        <w:t xml:space="preserve"> </w:t>
      </w:r>
      <w:r>
        <w:t xml:space="preserve">SC. —</w:t>
      </w:r>
      <w:r>
        <w:t xml:space="preserve"> </w:t>
      </w:r>
      <w:r>
        <w:rPr>
          <w:rStyle w:val="ColorGray"/>
        </w:rPr>
        <w:t xml:space="preserve">⟨4⟩</w:t>
      </w:r>
      <w:r>
        <w:t xml:space="preserve"> </w:t>
      </w:r>
      <w:r>
        <w:t xml:space="preserve">saṅ(ā)jñā ⬦</w:t>
      </w:r>
      <w:r>
        <w:t xml:space="preserve"> </w:t>
      </w:r>
      <w:r>
        <w:rPr>
          <w:rStyle w:val="ColorGreen"/>
          <w:i/>
          <w:iCs/>
        </w:rPr>
        <w:t xml:space="preserve">saṅ ājña</w:t>
      </w:r>
      <w:r>
        <w:t xml:space="preserve"> </w:t>
      </w:r>
      <w:r>
        <w:t xml:space="preserve">SC • Whatever the precise spelling, the word intended here is</w:t>
      </w:r>
      <w:r>
        <w:t xml:space="preserve"> </w:t>
      </w:r>
      <w:hyperlink r:id="rId9">
        <w:r>
          <w:rPr>
            <w:rStyle w:val="Hyperlink"/>
          </w:rPr>
          <w:t xml:space="preserve">Zoetmulder 1982</w:t>
        </w:r>
      </w:hyperlink>
      <w:r>
        <w:t xml:space="preserve">, p. 1677</w:t>
      </w:r>
      <w:r>
        <w:t xml:space="preserve"> </w:t>
      </w:r>
      <w:r>
        <w:rPr>
          <w:i/>
          <w:iCs/>
        </w:rPr>
        <w:t xml:space="preserve">sañjñā</w:t>
      </w:r>
      <w:r>
        <w:t xml:space="preserve"> </w:t>
      </w:r>
      <w:r>
        <w:t xml:space="preserve">(</w:t>
      </w:r>
      <w:r>
        <w:rPr>
          <w:i/>
          <w:iCs/>
        </w:rPr>
        <w:t xml:space="preserve">saṅjñā</w:t>
      </w:r>
      <w:r>
        <w:t xml:space="preserve">,</w:t>
      </w:r>
      <w:r>
        <w:t xml:space="preserve"> </w:t>
      </w:r>
      <w:r>
        <w:rPr>
          <w:i/>
          <w:iCs/>
        </w:rPr>
        <w:t xml:space="preserve">sajñā</w:t>
      </w:r>
      <w:r>
        <w:t xml:space="preserve">,</w:t>
      </w:r>
      <w:r>
        <w:t xml:space="preserve"> </w:t>
      </w:r>
      <w:r>
        <w:rPr>
          <w:i/>
          <w:iCs/>
        </w:rPr>
        <w:t xml:space="preserve">saṅajñā</w:t>
      </w:r>
      <w:r>
        <w:t xml:space="preserve">) (Skt.</w:t>
      </w:r>
      <w:r>
        <w:t xml:space="preserve"> </w:t>
      </w:r>
      <w:r>
        <w:rPr>
          <w:i/>
          <w:iCs/>
        </w:rPr>
        <w:t xml:space="preserve">saṁjñā</w:t>
      </w:r>
      <w:r>
        <w:t xml:space="preserve">) “name, appellation, title”.</w:t>
      </w:r>
    </w:p>
    <w:p>
      <w:pPr>
        <w:pStyle w:val="BodyText"/>
      </w:pPr>
      <w:r>
        <w:rPr>
          <w:rStyle w:val="ColorGray"/>
        </w:rPr>
        <w:t xml:space="preserve">⟨7⟩</w:t>
      </w:r>
      <w:r>
        <w:t xml:space="preserve"> </w:t>
      </w:r>
      <w:r>
        <w:t xml:space="preserve">ma{ma}ṅka(n)ābilāsa ⬦</w:t>
      </w:r>
      <w:r>
        <w:t xml:space="preserve"> </w:t>
      </w:r>
      <w:r>
        <w:rPr>
          <w:rStyle w:val="ColorRed"/>
          <w:i/>
          <w:iCs/>
        </w:rPr>
        <w:t xml:space="preserve">¿ma?</w:t>
      </w:r>
      <w:r>
        <w:rPr>
          <w:rStyle w:val="ColorGreen"/>
          <w:i/>
          <w:iCs/>
        </w:rPr>
        <w:t xml:space="preserve">⟨sa⟩</w:t>
      </w:r>
      <w:r>
        <w:rPr>
          <w:rStyle w:val="ColorGreen"/>
          <w:i/>
          <w:iCs/>
        </w:rPr>
        <w:t xml:space="preserve">maṅkana bilāsa</w:t>
      </w:r>
      <w:r>
        <w:t xml:space="preserve"> </w:t>
      </w:r>
      <w:r>
        <w:t xml:space="preserve">SC.</w:t>
      </w:r>
    </w:p>
    <w:p>
      <w:pPr>
        <w:pStyle w:val="BodyText"/>
      </w:pPr>
      <w:r>
        <w:rPr>
          <w:rStyle w:val="ColorGray"/>
        </w:rPr>
        <w:t xml:space="preserve">⟨8⟩</w:t>
      </w:r>
      <w:r>
        <w:t xml:space="preserve"> </w:t>
      </w:r>
      <w:r>
        <w:t xml:space="preserve">kas</w:t>
      </w:r>
      <w:r>
        <w:rPr>
          <w:rStyle w:val="ColorRed"/>
        </w:rPr>
        <w:t xml:space="preserve">¿a?</w:t>
      </w:r>
      <w:r>
        <w:rPr>
          <w:rStyle w:val="ColorGreen"/>
        </w:rPr>
        <w:t xml:space="preserve">⟨u⟩</w:t>
      </w:r>
      <w:r>
        <w:t xml:space="preserve">kaniṁ rāt· ⬦</w:t>
      </w:r>
      <w:r>
        <w:t xml:space="preserve"> </w:t>
      </w:r>
      <w:r>
        <w:rPr>
          <w:rStyle w:val="ColorGreen"/>
          <w:i/>
          <w:iCs/>
        </w:rPr>
        <w:t xml:space="preserve">kas</w:t>
      </w:r>
      <w:r>
        <w:rPr>
          <w:rStyle w:val="ColorRed"/>
          <w:i/>
          <w:iCs/>
        </w:rPr>
        <w:t xml:space="preserve">¿a?</w:t>
      </w:r>
      <w:r>
        <w:rPr>
          <w:rStyle w:val="ColorGreen"/>
          <w:i/>
          <w:iCs/>
        </w:rPr>
        <w:t xml:space="preserve">⟨u⟩</w:t>
      </w:r>
      <w:r>
        <w:rPr>
          <w:rStyle w:val="ColorGreen"/>
          <w:i/>
          <w:iCs/>
        </w:rPr>
        <w:t xml:space="preserve">kanirāt·</w:t>
      </w:r>
      <w:r>
        <w:t xml:space="preserve"> </w:t>
      </w:r>
      <w:r>
        <w:t xml:space="preserve">SC. —</w:t>
      </w:r>
      <w:r>
        <w:t xml:space="preserve"> </w:t>
      </w:r>
      <w:r>
        <w:rPr>
          <w:rStyle w:val="ColorGray"/>
        </w:rPr>
        <w:t xml:space="preserve">⟨8⟩</w:t>
      </w:r>
      <w:r>
        <w:t xml:space="preserve"> </w:t>
      </w:r>
      <w:r>
        <w:t xml:space="preserve">samp</w:t>
      </w:r>
      <w:r>
        <w:rPr>
          <w:rStyle w:val="ColorMagenta"/>
        </w:rPr>
        <w:t xml:space="preserve">¡u!</w:t>
      </w:r>
      <w:r>
        <w:rPr>
          <w:rStyle w:val="ColorBlue"/>
        </w:rPr>
        <w:t xml:space="preserve">⟨ū⟩</w:t>
      </w:r>
      <w:r>
        <w:t xml:space="preserve">rṇna ⬦</w:t>
      </w:r>
      <w:r>
        <w:t xml:space="preserve"> </w:t>
      </w:r>
      <w:r>
        <w:rPr>
          <w:rStyle w:val="ColorGreen"/>
          <w:i/>
          <w:iCs/>
        </w:rPr>
        <w:t xml:space="preserve">sampurnna</w:t>
      </w:r>
      <w:r>
        <w:t xml:space="preserve"> </w:t>
      </w:r>
      <w:r>
        <w:t xml:space="preserve">SC.</w:t>
      </w:r>
    </w:p>
    <w:p>
      <w:pPr>
        <w:pStyle w:val="BodyText"/>
      </w:pPr>
      <w:r>
        <w:rPr>
          <w:rStyle w:val="ColorGray"/>
        </w:rPr>
        <w:t xml:space="preserve">⟨9⟩</w:t>
      </w:r>
      <w:r>
        <w:t xml:space="preserve"> </w:t>
      </w:r>
      <w:r>
        <w:t xml:space="preserve">(A)mānuṣa kadarśan</w:t>
      </w:r>
      <w:r>
        <w:rPr>
          <w:rStyle w:val="ColorMagenta"/>
        </w:rPr>
        <w:t xml:space="preserve">¡i!</w:t>
      </w:r>
      <w:r>
        <w:rPr>
          <w:rStyle w:val="ColorBlue"/>
        </w:rPr>
        <w:t xml:space="preserve">⟨ī⟩</w:t>
      </w:r>
      <w:r>
        <w:t xml:space="preserve">yanikanaṁ SC • The</w:t>
      </w:r>
      <w:r>
        <w:t xml:space="preserve"> </w:t>
      </w:r>
      <w:r>
        <w:rPr>
          <w:i/>
          <w:iCs/>
        </w:rPr>
        <w:t xml:space="preserve">A</w:t>
      </w:r>
      <w:r>
        <w:t xml:space="preserve"> </w:t>
      </w:r>
      <w:r>
        <w:t xml:space="preserve">is objectively very unclear, but there is little doubt that it must be read because of the meaning expected in the context and the existence of a literary parallel, in</w:t>
      </w:r>
      <w:r>
        <w:t xml:space="preserve"> </w:t>
      </w:r>
      <w:r>
        <w:rPr>
          <w:i/>
          <w:iCs/>
        </w:rPr>
        <w:t xml:space="preserve">kakavin Kr̥ṣṇāyana</w:t>
      </w:r>
      <w:r>
        <w:t xml:space="preserve"> </w:t>
      </w:r>
      <w:r>
        <w:t xml:space="preserve">27.2a</w:t>
      </w:r>
      <w:r>
        <w:t xml:space="preserve"> </w:t>
      </w:r>
      <w:r>
        <w:rPr>
          <w:i/>
          <w:iCs/>
        </w:rPr>
        <w:t xml:space="preserve">amānuṣa kadarśaniyanira karaṇanikaṅ umulat paḍāṅucap</w:t>
      </w:r>
      <w:r>
        <w:t xml:space="preserve">.</w:t>
      </w:r>
    </w:p>
    <w:p>
      <w:pPr>
        <w:pStyle w:val="BodyText"/>
      </w:pPr>
      <w:r>
        <w:rPr>
          <w:rStyle w:val="ColorGray"/>
        </w:rPr>
        <w:t xml:space="preserve">⟨10⟩</w:t>
      </w:r>
      <w:r>
        <w:t xml:space="preserve"> </w:t>
      </w:r>
      <w:r>
        <w:t xml:space="preserve">maparip</w:t>
      </w:r>
      <w:r>
        <w:rPr>
          <w:rStyle w:val="ColorMagenta"/>
        </w:rPr>
        <w:t xml:space="preserve">¡u!</w:t>
      </w:r>
      <w:r>
        <w:rPr>
          <w:rStyle w:val="ColorBlue"/>
        </w:rPr>
        <w:t xml:space="preserve">⟨ū⟩</w:t>
      </w:r>
      <w:r>
        <w:t xml:space="preserve">rṇna ⬦</w:t>
      </w:r>
      <w:r>
        <w:t xml:space="preserve"> </w:t>
      </w:r>
      <w:r>
        <w:rPr>
          <w:rStyle w:val="ColorGreen"/>
          <w:i/>
          <w:iCs/>
        </w:rPr>
        <w:t xml:space="preserve">maparipurnna</w:t>
      </w:r>
      <w:r>
        <w:t xml:space="preserve"> </w:t>
      </w:r>
      <w:r>
        <w:t xml:space="preserve">SC.</w:t>
      </w:r>
    </w:p>
    <w:p>
      <w:pPr>
        <w:pStyle w:val="BodyText"/>
      </w:pPr>
      <w:r>
        <w:rPr>
          <w:rStyle w:val="ColorGray"/>
        </w:rPr>
        <w:t xml:space="preserve">⟨11⟩</w:t>
      </w:r>
      <w:r>
        <w:t xml:space="preserve"> </w:t>
      </w:r>
      <w:r>
        <w:t xml:space="preserve">sah aṅaran ⬦</w:t>
      </w:r>
      <w:r>
        <w:t xml:space="preserve"> </w:t>
      </w:r>
      <w:r>
        <w:rPr>
          <w:rStyle w:val="ColorGreen"/>
          <w:i/>
          <w:iCs/>
        </w:rPr>
        <w:t xml:space="preserve">sah aṅāran</w:t>
      </w:r>
      <w:r>
        <w:t xml:space="preserve"> </w:t>
      </w:r>
      <w:r>
        <w:t xml:space="preserve">SC • It is not clear why van Stein Callenfels felt the need to emend to</w:t>
      </w:r>
      <w:r>
        <w:t xml:space="preserve"> </w:t>
      </w:r>
      <w:r>
        <w:rPr>
          <w:i/>
          <w:iCs/>
        </w:rPr>
        <w:t xml:space="preserve">aṅāran</w:t>
      </w:r>
      <w:r>
        <w:t xml:space="preserve"> </w:t>
      </w:r>
      <w:r>
        <w:t xml:space="preserve">(following Poerbatjaraka), while he correctly read</w:t>
      </w:r>
      <w:r>
        <w:t xml:space="preserve"> </w:t>
      </w:r>
      <w:r>
        <w:rPr>
          <w:i/>
          <w:iCs/>
        </w:rPr>
        <w:t xml:space="preserve">sa haṅaran</w:t>
      </w:r>
      <w:r>
        <w:t xml:space="preserve">.</w:t>
      </w:r>
    </w:p>
    <w:p>
      <w:pPr>
        <w:pStyle w:val="BodyText"/>
      </w:pPr>
      <w:r>
        <w:rPr>
          <w:rStyle w:val="ColorGray"/>
        </w:rPr>
        <w:t xml:space="preserve">⟨12⟩</w:t>
      </w:r>
      <w:r>
        <w:t xml:space="preserve"> </w:t>
      </w:r>
      <w:r>
        <w:t xml:space="preserve">s</w:t>
      </w:r>
      <w:r>
        <w:rPr>
          <w:rStyle w:val="ColorMagenta"/>
        </w:rPr>
        <w:t xml:space="preserve">¡a!</w:t>
      </w:r>
      <w:r>
        <w:rPr>
          <w:rStyle w:val="ColorBlue"/>
        </w:rPr>
        <w:t xml:space="preserve">⟨ā⟩</w:t>
      </w:r>
      <w:r>
        <w:rPr>
          <w:rStyle w:val="ColorRed"/>
        </w:rPr>
        <w:t xml:space="preserve">¿v?</w:t>
      </w:r>
      <w:r>
        <w:rPr>
          <w:rStyle w:val="ColorGreen"/>
        </w:rPr>
        <w:t xml:space="preserve">⟨dh⟩</w:t>
      </w:r>
      <w:r>
        <w:t xml:space="preserve">u ⬦</w:t>
      </w:r>
      <w:r>
        <w:t xml:space="preserve"> </w:t>
      </w:r>
      <w:r>
        <w:rPr>
          <w:rStyle w:val="ColorGreen"/>
          <w:i/>
          <w:iCs/>
        </w:rPr>
        <w:t xml:space="preserve">sadhu</w:t>
      </w:r>
      <w:r>
        <w:t xml:space="preserve"> </w:t>
      </w:r>
      <w:r>
        <w:t xml:space="preserve">SC • We do not find here the</w:t>
      </w:r>
      <w:r>
        <w:t xml:space="preserve"> </w:t>
      </w:r>
      <w:r>
        <w:rPr>
          <w:i/>
          <w:iCs/>
        </w:rPr>
        <w:t xml:space="preserve">dh</w:t>
      </w:r>
      <w:r>
        <w:t xml:space="preserve"> </w:t>
      </w:r>
      <w:r>
        <w:t xml:space="preserve">shape that is clearly engraved in line 16 (</w:t>
      </w:r>
      <w:r>
        <w:rPr>
          <w:i/>
          <w:iCs/>
        </w:rPr>
        <w:t xml:space="preserve">śevadharmma</w:t>
      </w:r>
      <w:r>
        <w:t xml:space="preserve">).</w:t>
      </w:r>
    </w:p>
    <w:p>
      <w:pPr>
        <w:pStyle w:val="BodyText"/>
      </w:pPr>
      <w:r>
        <w:rPr>
          <w:rStyle w:val="ColorGray"/>
        </w:rPr>
        <w:t xml:space="preserve">⟨14⟩</w:t>
      </w:r>
      <w:r>
        <w:t xml:space="preserve"> </w:t>
      </w:r>
      <w:r>
        <w:t xml:space="preserve">a</w:t>
      </w:r>
      <w:r>
        <w:rPr>
          <w:rStyle w:val="ColorRed"/>
        </w:rPr>
        <w:t xml:space="preserve">¿susaṁ?</w:t>
      </w:r>
      <w:r>
        <w:rPr>
          <w:rStyle w:val="ColorGreen"/>
        </w:rPr>
        <w:t xml:space="preserve">⟨suṁ pa⟩</w:t>
      </w:r>
      <w:r>
        <w:t xml:space="preserve">ramasukanikaṁ SC • This passage is difficult. I accept the emendation that van Stein Callenfels also made following following a suggestion from Poerbatjaraka. —</w:t>
      </w:r>
      <w:r>
        <w:t xml:space="preserve"> </w:t>
      </w:r>
      <w:r>
        <w:rPr>
          <w:rStyle w:val="ColorGray"/>
        </w:rPr>
        <w:t xml:space="preserve">⟨14⟩</w:t>
      </w:r>
      <w:r>
        <w:t xml:space="preserve"> </w:t>
      </w:r>
      <w:r>
        <w:rPr>
          <w:rStyle w:val="ColorRed"/>
        </w:rPr>
        <w:t xml:space="preserve">¿si⟨ra⟩ ra(kv)a?</w:t>
      </w:r>
      <w:r>
        <w:rPr>
          <w:rStyle w:val="ColorGreen"/>
        </w:rPr>
        <w:t xml:space="preserve">⟨sira rakva⟩</w:t>
      </w:r>
      <w:r>
        <w:t xml:space="preserve"> </w:t>
      </w:r>
      <w:r>
        <w:t xml:space="preserve">SC • I concur with the correction proposed by van Stein Callenfels.</w:t>
      </w:r>
    </w:p>
    <w:p>
      <w:pPr>
        <w:pStyle w:val="BodyText"/>
      </w:pPr>
      <w:r>
        <w:rPr>
          <w:rStyle w:val="ColorGray"/>
        </w:rPr>
        <w:t xml:space="preserve">⟨15⟩</w:t>
      </w:r>
      <w:r>
        <w:t xml:space="preserve"> </w:t>
      </w:r>
      <w:r>
        <w:t xml:space="preserve">ardḍaparṇna ⬦</w:t>
      </w:r>
      <w:r>
        <w:t xml:space="preserve"> </w:t>
      </w:r>
      <w:r>
        <w:rPr>
          <w:rStyle w:val="ColorGreen"/>
          <w:i/>
          <w:iCs/>
        </w:rPr>
        <w:t xml:space="preserve">ardḍapaL̥</w:t>
      </w:r>
      <w:r>
        <w:t xml:space="preserve"> </w:t>
      </w:r>
      <w:r>
        <w:t xml:space="preserve">SC. —</w:t>
      </w:r>
      <w:r>
        <w:t xml:space="preserve"> </w:t>
      </w:r>
      <w:r>
        <w:rPr>
          <w:rStyle w:val="ColorGray"/>
        </w:rPr>
        <w:t xml:space="preserve">⟨15⟩</w:t>
      </w:r>
      <w:r>
        <w:t xml:space="preserve"> </w:t>
      </w:r>
      <w:r>
        <w:t xml:space="preserve">mavāṣ rakṣa</w:t>
      </w:r>
      <w:r>
        <w:rPr>
          <w:rStyle w:val="ColorGray"/>
        </w:rPr>
        <w:t xml:space="preserve">⟨16⟩</w:t>
      </w:r>
      <w:r>
        <w:t xml:space="preserve">ti ⬦</w:t>
      </w:r>
      <w:r>
        <w:t xml:space="preserve"> </w:t>
      </w:r>
      <w:r>
        <w:rPr>
          <w:rStyle w:val="ColorGreen"/>
          <w:i/>
          <w:iCs/>
        </w:rPr>
        <w:t xml:space="preserve">mavipraksati</w:t>
      </w:r>
      <w:r>
        <w:t xml:space="preserve"> </w:t>
      </w:r>
      <w:r>
        <w:t xml:space="preserve">SC.</w:t>
      </w:r>
    </w:p>
    <w:p>
      <w:pPr>
        <w:pStyle w:val="BodyText"/>
      </w:pPr>
      <w:r>
        <w:rPr>
          <w:rStyle w:val="ColorGray"/>
        </w:rPr>
        <w:t xml:space="preserve">⟨16⟩</w:t>
      </w:r>
      <w:r>
        <w:t xml:space="preserve"> </w:t>
      </w:r>
      <w:r>
        <w:t xml:space="preserve">⟨⟨nar</w:t>
      </w:r>
      <w:r>
        <w:rPr>
          <w:rStyle w:val="ColorMagenta"/>
        </w:rPr>
        <w:t xml:space="preserve">¡a!</w:t>
      </w:r>
      <w:r>
        <w:rPr>
          <w:rStyle w:val="ColorBlue"/>
        </w:rPr>
        <w:t xml:space="preserve">⟨ā⟩</w:t>
      </w:r>
      <w:r>
        <w:t xml:space="preserve">⟩⟩ḍipa • The interlinear insertion is marked by a</w:t>
      </w:r>
      <w:r>
        <w:t xml:space="preserve"> </w:t>
      </w:r>
      <w:r>
        <w:rPr>
          <w:i/>
          <w:iCs/>
        </w:rPr>
        <w:t xml:space="preserve">kākapāda</w:t>
      </w:r>
      <w:r>
        <w:t xml:space="preserve">. —</w:t>
      </w:r>
      <w:r>
        <w:t xml:space="preserve"> </w:t>
      </w:r>
      <w:r>
        <w:rPr>
          <w:rStyle w:val="ColorGray"/>
        </w:rPr>
        <w:t xml:space="preserve">⟨16⟩</w:t>
      </w:r>
      <w:r>
        <w:t xml:space="preserve"> </w:t>
      </w:r>
      <w:r>
        <w:t xml:space="preserve">haṅu-haṁṅun (d)e ⬦</w:t>
      </w:r>
      <w:r>
        <w:t xml:space="preserve"> </w:t>
      </w:r>
      <w:r>
        <w:rPr>
          <w:rStyle w:val="ColorGreen"/>
          <w:i/>
          <w:iCs/>
        </w:rPr>
        <w:t xml:space="preserve">haṅuhaṅune</w:t>
      </w:r>
      <w:r>
        <w:t xml:space="preserve"> </w:t>
      </w:r>
      <w:r>
        <w:t xml:space="preserve">SC. —</w:t>
      </w:r>
      <w:r>
        <w:t xml:space="preserve"> </w:t>
      </w:r>
      <w:r>
        <w:rPr>
          <w:rStyle w:val="ColorGray"/>
        </w:rPr>
        <w:t xml:space="preserve">⟨16⟩</w:t>
      </w:r>
      <w:r>
        <w:t xml:space="preserve"> </w:t>
      </w:r>
      <w:r>
        <w:t xml:space="preserve">saṅ</w:t>
      </w:r>
      <w:r>
        <w:t xml:space="preserve"> </w:t>
      </w:r>
      <w:r>
        <w:rPr>
          <w:rStyle w:val="ColorRed"/>
        </w:rPr>
        <w:t xml:space="preserve">¿uhulun?</w:t>
      </w:r>
      <w:r>
        <w:rPr>
          <w:rStyle w:val="ColorGreen"/>
        </w:rPr>
        <w:t xml:space="preserve">⟨ahulun⟩</w:t>
      </w:r>
      <w:r>
        <w:t xml:space="preserve"> </w:t>
      </w:r>
      <w:r>
        <w:t xml:space="preserve">SC • Or emend</w:t>
      </w:r>
      <w:r>
        <w:t xml:space="preserve"> </w:t>
      </w:r>
      <w:r>
        <w:rPr>
          <w:i/>
          <w:iCs/>
        </w:rPr>
        <w:t xml:space="preserve">saṅhulun</w:t>
      </w:r>
      <w:r>
        <w:t xml:space="preserve">?</w:t>
      </w:r>
    </w:p>
    <w:p>
      <w:pPr>
        <w:pStyle w:val="BodyText"/>
      </w:pPr>
      <w:r>
        <w:rPr>
          <w:rStyle w:val="ColorGray"/>
        </w:rPr>
        <w:t xml:space="preserve">⟨17⟩</w:t>
      </w:r>
      <w:r>
        <w:t xml:space="preserve"> </w:t>
      </w:r>
      <w:r>
        <w:t xml:space="preserve">makaṅaran ⬦</w:t>
      </w:r>
      <w:r>
        <w:t xml:space="preserve"> </w:t>
      </w:r>
      <w:r>
        <w:rPr>
          <w:rStyle w:val="ColorGreen"/>
          <w:i/>
          <w:iCs/>
        </w:rPr>
        <w:t xml:space="preserve">makaṅāran</w:t>
      </w:r>
      <w:r>
        <w:t xml:space="preserve"> </w:t>
      </w:r>
      <w:r>
        <w:t xml:space="preserve">SC. —</w:t>
      </w:r>
      <w:r>
        <w:t xml:space="preserve"> </w:t>
      </w:r>
      <w:r>
        <w:rPr>
          <w:rStyle w:val="ColorGray"/>
        </w:rPr>
        <w:t xml:space="preserve">⟨17⟩</w:t>
      </w:r>
      <w:r>
        <w:t xml:space="preserve"> </w:t>
      </w:r>
      <w:r>
        <w:t xml:space="preserve">śil</w:t>
      </w:r>
      <w:r>
        <w:rPr>
          <w:rStyle w:val="ColorMagenta"/>
        </w:rPr>
        <w:t xml:space="preserve">¡a!</w:t>
      </w:r>
      <w:r>
        <w:rPr>
          <w:rStyle w:val="ColorBlue"/>
        </w:rPr>
        <w:t xml:space="preserve">⟨ā⟩</w:t>
      </w:r>
      <w:r>
        <w:t xml:space="preserve">maṇi-kuṇḍala ⬦</w:t>
      </w:r>
      <w:r>
        <w:t xml:space="preserve"> </w:t>
      </w:r>
      <w:r>
        <w:rPr>
          <w:rStyle w:val="ColorGreen"/>
          <w:i/>
          <w:iCs/>
        </w:rPr>
        <w:t xml:space="preserve">śilamat i kuśmala</w:t>
      </w:r>
      <w:r>
        <w:t xml:space="preserve"> </w:t>
      </w:r>
      <w:r>
        <w:t xml:space="preserve">SC.</w:t>
      </w:r>
    </w:p>
    <w:p>
      <w:pPr>
        <w:pStyle w:val="Heading1"/>
      </w:pPr>
      <w:r>
        <w:t xml:space="preserve">Translation</w:t>
      </w:r>
    </w:p>
    <w:p>
      <w:pPr>
        <w:pStyle w:val="FirstParagraph"/>
      </w:pPr>
      <w:r>
        <w:rPr>
          <w:rStyle w:val="ColorGray"/>
        </w:rPr>
        <w:t xml:space="preserve">⟨1–2⟩</w:t>
      </w:r>
      <w:r>
        <w:t xml:space="preserve"> </w:t>
      </w:r>
      <w:r>
        <w:t xml:space="preserve">Hail! Elapsed Śaka year 1272, month of Mārgaśira, fifteenth</w:t>
      </w:r>
      <w:r>
        <w:t xml:space="preserve"> </w:t>
      </w:r>
      <w:r>
        <w:rPr>
          <w:i/>
          <w:iCs/>
        </w:rPr>
        <w:t xml:space="preserve">tithi</w:t>
      </w:r>
      <w:r>
        <w:t xml:space="preserve"> </w:t>
      </w:r>
      <w:r>
        <w:t xml:space="preserve">of the waxing fortnight, Mavulu (of the 6-day cycle), Vagai (of the 5-day cycle), Tuesday, ⟨the</w:t>
      </w:r>
      <w:r>
        <w:t xml:space="preserve"> </w:t>
      </w:r>
      <w:r>
        <w:rPr>
          <w:i/>
          <w:iCs/>
        </w:rPr>
        <w:t xml:space="preserve">vuku</w:t>
      </w:r>
      <w:r>
        <w:t xml:space="preserve"> </w:t>
      </w:r>
      <w:r>
        <w:t xml:space="preserve">being⟩ Pahaṅ (i.e., 14 December 1350 CE).</w:t>
      </w:r>
      <w:r>
        <w:rPr>
          <w:rStyle w:val="FootnoteReference"/>
        </w:rPr>
        <w:footnoteReference w:id="10"/>
      </w:r>
    </w:p>
    <w:p>
      <w:pPr>
        <w:pStyle w:val="BodyText"/>
      </w:pPr>
      <w:r>
        <w:rPr>
          <w:rStyle w:val="ColorGray"/>
        </w:rPr>
        <w:t xml:space="preserve">⟨2–4⟩</w:t>
      </w:r>
      <w:r>
        <w:t xml:space="preserve"> </w:t>
      </w:r>
      <w:r>
        <w:t xml:space="preserve">That was the time of the completion of the dam (called) Śilāmaṇikuṇḍala (“ear-pendant with stones for jewels”) by the Lord of Dəmuṅ,</w:t>
      </w:r>
      <w:r>
        <w:t xml:space="preserve"> </w:t>
      </w:r>
      <w:r>
        <w:rPr>
          <w:i/>
          <w:iCs/>
        </w:rPr>
        <w:t xml:space="preserve">saṅ</w:t>
      </w:r>
      <w:r>
        <w:t xml:space="preserve"> </w:t>
      </w:r>
      <w:r>
        <w:t xml:space="preserve">Matiṅbun, Raṅgah Sapu, with the blessing of (</w:t>
      </w:r>
      <w:r>
        <w:rPr>
          <w:i/>
          <w:iCs/>
        </w:rPr>
        <w:t xml:space="preserve">makamaṅgala</w:t>
      </w:r>
      <w:r>
        <w:t xml:space="preserve">) the old man of Amūrvabhūmi,</w:t>
      </w:r>
      <w:r>
        <w:rPr>
          <w:rStyle w:val="FootnoteReference"/>
        </w:rPr>
        <w:footnoteReference w:id="11"/>
      </w:r>
      <w:r>
        <w:t xml:space="preserve"> </w:t>
      </w:r>
      <w:r>
        <w:t xml:space="preserve">having as attendants the Raṅgah Avar-avar and the one with the byname Pupon.</w:t>
      </w:r>
      <w:r>
        <w:rPr>
          <w:rStyle w:val="FootnoteReference"/>
        </w:rPr>
        <w:footnoteReference w:id="12"/>
      </w:r>
    </w:p>
    <w:p>
      <w:pPr>
        <w:pStyle w:val="BodyText"/>
      </w:pPr>
      <w:r>
        <w:rPr>
          <w:rStyle w:val="ColorGray"/>
        </w:rPr>
        <w:t xml:space="preserve">⟨4–9⟩</w:t>
      </w:r>
      <w:r>
        <w:t xml:space="preserve"> </w:t>
      </w:r>
      <w:r>
        <w:t xml:space="preserve">Such was the designation of His Majesty the Lord of Matahun, Śrī Bhaṭāra Vijayarājasānantavikramottuṅgadeva, the cause of welfare of the world, (namely) that he would bring about the happiness of the</w:t>
      </w:r>
      <w:r>
        <w:t xml:space="preserve"> </w:t>
      </w:r>
      <w:r>
        <w:rPr>
          <w:i/>
          <w:iCs/>
        </w:rPr>
        <w:t xml:space="preserve">sāmya</w:t>
      </w:r>
      <w:r>
        <w:t xml:space="preserve"> </w:t>
      </w:r>
      <w:r>
        <w:t xml:space="preserve">coming under the territory of the chiefs to the east of Daha. Such was the desire of His Majesty the Lord of Matahun, whose nature is to have affection for ⟨the Godess⟩ Fame, who causes the happiness of the world, “⟨namely that⟩ Raṅgah Sapu with the priests should be bent on the completion of the dam. May it be accomplished!”</w:t>
      </w:r>
    </w:p>
    <w:p>
      <w:pPr>
        <w:pStyle w:val="BodyText"/>
      </w:pPr>
      <w:r>
        <w:rPr>
          <w:rStyle w:val="ColorGray"/>
        </w:rPr>
        <w:t xml:space="preserve">⟨9–13⟩</w:t>
      </w:r>
      <w:r>
        <w:t xml:space="preserve"> </w:t>
      </w:r>
      <w:r>
        <w:t xml:space="preserve">Superhuman was the beauty of this pious work ⟨in the form of⟩ a dam of an extremely rare fittingness. It had been perfected thanks to said Raṅgah Sapu. Truly skilful was his manner of acting. But no less (</w:t>
      </w:r>
      <w:r>
        <w:rPr>
          <w:i/>
          <w:iCs/>
        </w:rPr>
        <w:t xml:space="preserve">ndatan sah</w:t>
      </w:r>
      <w:r>
        <w:t xml:space="preserve">) was the aforementioned one named Pupon as byname, praised as good, strong, virtuous and able to act on behalf of the king, unfailing when tasked by the king.</w:t>
      </w:r>
    </w:p>
    <w:p>
      <w:pPr>
        <w:pStyle w:val="BodyText"/>
      </w:pPr>
      <w:r>
        <w:rPr>
          <w:rStyle w:val="ColorGray"/>
        </w:rPr>
        <w:t xml:space="preserve">⟨13–15⟩</w:t>
      </w:r>
      <w:r>
        <w:t xml:space="preserve"> </w:t>
      </w:r>
      <w:r>
        <w:t xml:space="preserve">The work was supremely splendid and fitting, yielding the highest pleasure of whichever person saw it, […] (</w:t>
      </w:r>
      <w:r>
        <w:rPr>
          <w:i/>
          <w:iCs/>
        </w:rPr>
        <w:t xml:space="preserve">sirakṣati karakṣa</w:t>
      </w:r>
      <w:r>
        <w:t xml:space="preserve">) a permanent means of restoring the dammed river Ardhaparṇa to its constancy.</w:t>
      </w:r>
    </w:p>
    <w:p>
      <w:pPr>
        <w:pStyle w:val="BodyText"/>
      </w:pPr>
      <w:r>
        <w:rPr>
          <w:rStyle w:val="ColorGray"/>
        </w:rPr>
        <w:t xml:space="preserve">⟨15–18⟩</w:t>
      </w:r>
      <w:r>
        <w:t xml:space="preserve"> </w:t>
      </w:r>
      <w:r>
        <w:t xml:space="preserve">Clearly they observe (?</w:t>
      </w:r>
      <w:r>
        <w:t xml:space="preserve"> </w:t>
      </w:r>
      <w:r>
        <w:rPr>
          <w:i/>
          <w:iCs/>
        </w:rPr>
        <w:t xml:space="preserve">rakṣati</w:t>
      </w:r>
      <w:r>
        <w:t xml:space="preserve">) the duty of service to the ruler. The condition of his Majesty’s (or: my,</w:t>
      </w:r>
      <w:r>
        <w:t xml:space="preserve"> </w:t>
      </w:r>
      <w:r>
        <w:rPr>
          <w:i/>
          <w:iCs/>
        </w:rPr>
        <w:t xml:space="preserve">saṅhulun</w:t>
      </w:r>
      <w:r>
        <w:t xml:space="preserve">) eyes is eager without end. It was widely known by the name Śilamamaṇi-kuṇḍala.</w:t>
      </w:r>
    </w:p>
    <w:p>
      <w:pPr>
        <w:pStyle w:val="Heading1"/>
      </w:pPr>
      <w:r>
        <w:t xml:space="preserve">Commentary</w:t>
      </w:r>
    </w:p>
    <w:p>
      <w:pPr>
        <w:pStyle w:val="FirstParagraph"/>
      </w:pPr>
      <w:r>
        <w:t xml:space="preserve">Damais (Damais 1955, p. 83, n. 1), commented: “On notera l’orthographe très javanisée de ce document.” One aspect of such javanised spelling is the absence of distinction between</w:t>
      </w:r>
      <w:r>
        <w:t xml:space="preserve"> </w:t>
      </w:r>
      <w:r>
        <w:rPr>
          <w:i/>
          <w:iCs/>
        </w:rPr>
        <w:t xml:space="preserve">ḍ</w:t>
      </w:r>
      <w:r>
        <w:t xml:space="preserve"> </w:t>
      </w:r>
      <w:r>
        <w:t xml:space="preserve">and</w:t>
      </w:r>
      <w:r>
        <w:t xml:space="preserve"> </w:t>
      </w:r>
      <w:r>
        <w:rPr>
          <w:i/>
          <w:iCs/>
        </w:rPr>
        <w:t xml:space="preserve">ḍh</w:t>
      </w:r>
      <w:r>
        <w:t xml:space="preserve"> </w:t>
      </w:r>
      <w:r>
        <w:t xml:space="preserve">in</w:t>
      </w:r>
      <w:r>
        <w:t xml:space="preserve"> </w:t>
      </w:r>
      <w:r>
        <w:rPr>
          <w:i/>
          <w:iCs/>
        </w:rPr>
        <w:t xml:space="preserve">pasangan</w:t>
      </w:r>
      <w:r>
        <w:t xml:space="preserve"> </w:t>
      </w:r>
      <w:r>
        <w:t xml:space="preserve">position, all cases here transliterated as</w:t>
      </w:r>
      <w:r>
        <w:t xml:space="preserve"> </w:t>
      </w:r>
      <w:r>
        <w:rPr>
          <w:i/>
          <w:iCs/>
        </w:rPr>
        <w:t xml:space="preserve">ḍ</w:t>
      </w:r>
      <w:r>
        <w:t xml:space="preserve"> </w:t>
      </w:r>
      <w:r>
        <w:t xml:space="preserve">(e.g.,</w:t>
      </w:r>
      <w:r>
        <w:t xml:space="preserve"> </w:t>
      </w:r>
      <w:r>
        <w:rPr>
          <w:i/>
          <w:iCs/>
        </w:rPr>
        <w:t xml:space="preserve">sidḍir</w:t>
      </w:r>
      <w:r>
        <w:t xml:space="preserve">). The text is, moreover, carelessly engraved with a number of evident errors that require correction and a surprising inconsistency of shapes of certain</w:t>
      </w:r>
      <w:r>
        <w:t xml:space="preserve"> </w:t>
      </w:r>
      <w:r>
        <w:rPr>
          <w:i/>
          <w:iCs/>
        </w:rPr>
        <w:t xml:space="preserve">akṣara</w:t>
      </w:r>
      <w:r>
        <w:t xml:space="preserve">s, e.g., that of</w:t>
      </w:r>
      <w:r>
        <w:t xml:space="preserve"> </w:t>
      </w:r>
      <w:r>
        <w:rPr>
          <w:i/>
          <w:iCs/>
        </w:rPr>
        <w:t xml:space="preserve">ṇ</w:t>
      </w:r>
      <w:r>
        <w:t xml:space="preserve"> </w:t>
      </w:r>
      <w:r>
        <w:t xml:space="preserve">in</w:t>
      </w:r>
      <w:r>
        <w:t xml:space="preserve"> </w:t>
      </w:r>
      <w:r>
        <w:rPr>
          <w:i/>
          <w:iCs/>
        </w:rPr>
        <w:t xml:space="preserve">guṇavan</w:t>
      </w:r>
      <w:r>
        <w:t xml:space="preserve"> </w:t>
      </w:r>
      <w:r>
        <w:t xml:space="preserve">l. 12 compared to</w:t>
      </w:r>
      <w:r>
        <w:t xml:space="preserve"> </w:t>
      </w:r>
      <w:r>
        <w:rPr>
          <w:i/>
          <w:iCs/>
        </w:rPr>
        <w:t xml:space="preserve">sampurṇna</w:t>
      </w:r>
      <w:r>
        <w:t xml:space="preserve"> </w:t>
      </w:r>
      <w:r>
        <w:t xml:space="preserve">in l. 8. There is also a recurrent problem of interpretation, whether a given</w:t>
      </w:r>
      <w:r>
        <w:t xml:space="preserve"> </w:t>
      </w:r>
      <w:r>
        <w:rPr>
          <w:i/>
          <w:iCs/>
        </w:rPr>
        <w:t xml:space="preserve">akṣara</w:t>
      </w:r>
      <w:r>
        <w:t xml:space="preserve"> </w:t>
      </w:r>
      <w:r>
        <w:t xml:space="preserve">comprises a</w:t>
      </w:r>
      <w:r>
        <w:t xml:space="preserve"> </w:t>
      </w:r>
      <w:r>
        <w:rPr>
          <w:i/>
          <w:iCs/>
        </w:rPr>
        <w:t xml:space="preserve">tarung</w:t>
      </w:r>
      <w:r>
        <w:t xml:space="preserve"> </w:t>
      </w:r>
      <w:r>
        <w:t xml:space="preserve">or whether the vertical stroke in question forms part of the consonant sign itself.</w:t>
      </w:r>
    </w:p>
    <w:p>
      <w:pPr>
        <w:pStyle w:val="Heading1"/>
      </w:pPr>
      <w:r>
        <w:t xml:space="preserve">Bibliography</w:t>
      </w:r>
    </w:p>
    <w:p>
      <w:pPr>
        <w:pStyle w:val="FirstParagraph"/>
      </w:pPr>
      <w:r>
        <w:t xml:space="preserve">First edited by van Stein Callenfels (1919), with translation into Dutch. The Indonesian translation by M. Yamin (1962) was based on the Dutch scholar’s edition. This new digital edition by Arlo Griffiths from an estampage and an orthophoto.</w:t>
      </w:r>
    </w:p>
    <w:p>
      <w:pPr>
        <w:pStyle w:val="Heading2"/>
      </w:pPr>
      <w:r>
        <w:t xml:space="preserve">Primary</w:t>
      </w:r>
    </w:p>
    <w:p>
      <w:pPr>
        <w:pStyle w:val="FirstParagraph"/>
      </w:pPr>
      <w:r>
        <w:rPr>
          <w:b/>
          <w:bCs/>
        </w:rPr>
        <w:t xml:space="preserve">[SC]</w:t>
      </w:r>
      <w:r>
        <w:t xml:space="preserve"> </w:t>
      </w:r>
      <w:r>
        <w:t xml:space="preserve">van Stein Callenfels, Pieter Vincent. 1919. “De inscriptie van Kandangan.” TBG 58, pp. 337–347.</w:t>
      </w:r>
    </w:p>
    <w:p>
      <w:pPr>
        <w:pStyle w:val="Heading2"/>
      </w:pPr>
      <w:r>
        <w:t xml:space="preserve">Secondary</w:t>
      </w:r>
    </w:p>
    <w:p>
      <w:pPr>
        <w:pStyle w:val="FirstParagraph"/>
      </w:pPr>
      <w:r>
        <w:t xml:space="preserve">Knebel, J. 1910. “Beschrijving van de Hindoe-oudheden in de afdeeling Kediri (Residentie Kediri) 1908.” ROC (Bijlage 44), pp. 233–302. Page 243, item 35.</w:t>
      </w:r>
    </w:p>
    <w:p>
      <w:pPr>
        <w:pStyle w:val="BodyText"/>
      </w:pPr>
      <w:r>
        <w:t xml:space="preserve">ROD1915_01</w:t>
      </w:r>
    </w:p>
    <w:p>
      <w:pPr>
        <w:pStyle w:val="BodyText"/>
      </w:pPr>
      <w:r>
        <w:t xml:space="preserve">OV 1916.</w:t>
      </w:r>
      <w:r>
        <w:t xml:space="preserve"> </w:t>
      </w:r>
      <w:r>
        <w:rPr>
          <w:i/>
          <w:iCs/>
        </w:rPr>
        <w:t xml:space="preserve">Oudheidkundige Dienst in Nederlandsch-Indië: Oudheidkundig Verslag 1916</w:t>
      </w:r>
      <w:r>
        <w:t xml:space="preserve">. Weltevreden; ’s Hage: Albrecht &amp; Co.; Nijhoff, 1916.</w:t>
      </w:r>
      <w:r>
        <w:t xml:space="preserve"> </w:t>
      </w:r>
      <w:hyperlink r:id="rId13">
        <w:r>
          <w:rPr>
            <w:rStyle w:val="Hyperlink"/>
          </w:rPr>
          <w:t xml:space="preserve">[URL]</w:t>
        </w:r>
      </w:hyperlink>
      <w:r>
        <w:t xml:space="preserve">. Page 47.</w:t>
      </w:r>
    </w:p>
    <w:p>
      <w:pPr>
        <w:pStyle w:val="BodyText"/>
      </w:pPr>
      <w:r>
        <w:t xml:space="preserve">NBG 1917.</w:t>
      </w:r>
      <w:r>
        <w:t xml:space="preserve"> </w:t>
      </w:r>
      <w:r>
        <w:rPr>
          <w:i/>
          <w:iCs/>
        </w:rPr>
        <w:t xml:space="preserve">Notulen van de Algemeene en Bestuurs-vergaderingen van het Bataviaasch Genootschap van Kunsten en Wetenschappen: Deel LV — 1917</w:t>
      </w:r>
      <w:r>
        <w:t xml:space="preserve">. Batavia; ’s-Gravenhage: Kolff &amp; Co.; Nijhoff, 1917–1918. Pages 4, 56–57.</w:t>
      </w:r>
    </w:p>
    <w:p>
      <w:pPr>
        <w:pStyle w:val="BodyText"/>
      </w:pPr>
      <w:r>
        <w:t xml:space="preserve">Damais, Louis-Charles. 1952. “Études d’épigraphie indonésienne, III : Liste des principales inscriptions datées de l’Indonesie.” BEFEO 46 (1), pp. 1–105. DOI:</w:t>
      </w:r>
      <w:r>
        <w:t xml:space="preserve"> </w:t>
      </w:r>
      <w:hyperlink r:id="rId14">
        <w:r>
          <w:rPr>
            <w:rStyle w:val="Hyperlink"/>
          </w:rPr>
          <w:t xml:space="preserve">10.3406/befeo.1952.5158</w:t>
        </w:r>
      </w:hyperlink>
      <w:r>
        <w:t xml:space="preserve">.</w:t>
      </w:r>
      <w:r>
        <w:t xml:space="preserve"> </w:t>
      </w:r>
      <w:hyperlink r:id="rId15">
        <w:r>
          <w:rPr>
            <w:rStyle w:val="Hyperlink"/>
          </w:rPr>
          <w:t xml:space="preserve">[URL]</w:t>
        </w:r>
      </w:hyperlink>
      <w:r>
        <w:t xml:space="preserve">. Pages 76–77, item A.186.</w:t>
      </w:r>
    </w:p>
    <w:p>
      <w:pPr>
        <w:pStyle w:val="BodyText"/>
      </w:pPr>
      <w:r>
        <w:t xml:space="preserve">Damais, Louis-Charles. 1955. “Études d’épigraphie indonésienne, IV : Discussion de la date des inscriptions.” BEFEO 47, pp. 7–290. DOI:</w:t>
      </w:r>
      <w:r>
        <w:t xml:space="preserve"> </w:t>
      </w:r>
      <w:hyperlink r:id="rId16">
        <w:r>
          <w:rPr>
            <w:rStyle w:val="Hyperlink"/>
          </w:rPr>
          <w:t xml:space="preserve">10.3406/befeo.1955.5406</w:t>
        </w:r>
      </w:hyperlink>
      <w:r>
        <w:t xml:space="preserve">.</w:t>
      </w:r>
      <w:r>
        <w:t xml:space="preserve"> </w:t>
      </w:r>
      <w:hyperlink r:id="rId17">
        <w:r>
          <w:rPr>
            <w:rStyle w:val="Hyperlink"/>
          </w:rPr>
          <w:t xml:space="preserve">[URL]</w:t>
        </w:r>
      </w:hyperlink>
      <w:r>
        <w:t xml:space="preserve">. Pages 82–83, item A.186.</w:t>
      </w:r>
    </w:p>
    <w:p>
      <w:pPr>
        <w:pStyle w:val="BodyText"/>
      </w:pPr>
      <w:r>
        <w:t xml:space="preserve">Muhammad Yamin. 1962.</w:t>
      </w:r>
      <w:r>
        <w:t xml:space="preserve"> </w:t>
      </w:r>
      <w:r>
        <w:rPr>
          <w:i/>
          <w:iCs/>
        </w:rPr>
        <w:t xml:space="preserve">Tatanegara Madjapahit jaitu risalah sapta parwa berisi 7 parwa hasil penelitian ketatanegaraan Indonésia tentang dasar dan bentuk negara Nusantara bernama Madjapahit, 1293-1525. Parwa II</w:t>
      </w:r>
      <w:r>
        <w:t xml:space="preserve">. Djakarta: Prapantja. Pages 73–75, item XII.</w:t>
      </w:r>
    </w:p>
    <w:p>
      <w:pPr>
        <w:pStyle w:val="BodyText"/>
      </w:pPr>
      <w:r>
        <w:t xml:space="preserve">Nakada, Kōzō. 1982.</w:t>
      </w:r>
      <w:r>
        <w:t xml:space="preserve"> </w:t>
      </w:r>
      <w:r>
        <w:rPr>
          <w:i/>
          <w:iCs/>
        </w:rPr>
        <w:t xml:space="preserve">An inventory of the dated inscriptions in Java</w:t>
      </w:r>
      <w:r>
        <w:t xml:space="preserve">. Memoirs of the Research Department of the Toyo Bunko 40. Tokyo: Toyo Bunko. Pages 120–121, items I-217.</w:t>
      </w:r>
    </w:p>
    <w:p>
      <w:pPr>
        <w:pStyle w:val="BodyText"/>
      </w:pPr>
      <w:r>
        <w:t xml:space="preserve">Machi Suhadi &amp; Richadiana Kartakusuma. 1996.</w:t>
      </w:r>
      <w:r>
        <w:t xml:space="preserve"> </w:t>
      </w:r>
      <w:r>
        <w:rPr>
          <w:i/>
          <w:iCs/>
        </w:rPr>
        <w:t xml:space="preserve">Laporan penelitian epigrafi di wilayah Provinsi Jawa Timur</w:t>
      </w:r>
      <w:r>
        <w:t xml:space="preserve">. Berita penelitian arkeologi 47. Jakarta: Proyek Penelitian Arkeologi Jakarta, Pusat Penelitian Arkeologi Nasional, Departemen Pendidikan dan Kebudayaan. Pages 38–39, 57.</w:t>
      </w:r>
    </w:p>
    <w:p>
      <w:pPr>
        <w:pStyle w:val="BodyText"/>
      </w:pPr>
      <w:r>
        <w:t xml:space="preserve">Eade, J. C. &amp; Lars Gislén. 2000.</w:t>
      </w:r>
      <w:r>
        <w:t xml:space="preserve"> </w:t>
      </w:r>
      <w:r>
        <w:rPr>
          <w:i/>
          <w:iCs/>
        </w:rPr>
        <w:t xml:space="preserve">Early Javanese inscriptions: A new dating method</w:t>
      </w:r>
      <w:r>
        <w:t xml:space="preserve">. Handbuch der Orientalistik. 3. Abt., Südostasien 10. Leiden: Brill. Pages 106–107.</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The text states Mārgaśira but the HIC diagram shows Pauṣa. This is due to intercalation, as explained by Eade &amp; Gislén 2000.</w:t>
      </w:r>
    </w:p>
  </w:footnote>
  <w:footnote w:id="11">
    <w:p>
      <w:pPr>
        <w:pStyle w:val="FootnoteText"/>
      </w:pPr>
      <w:r>
        <w:rPr>
          <w:rStyle w:val="FootnoteReference"/>
        </w:rPr>
        <w:footnoteRef/>
      </w:r>
      <w:r>
        <w:t xml:space="preserve"> </w:t>
      </w:r>
      <w:r>
        <w:t xml:space="preserve">The title Amūrvabhūmi is almost exclusively associated with Ken Angrok, based on the</w:t>
      </w:r>
      <w:r>
        <w:t xml:space="preserve"> </w:t>
      </w:r>
      <w:r>
        <w:rPr>
          <w:i/>
          <w:iCs/>
        </w:rPr>
        <w:t xml:space="preserve">Pararaton</w:t>
      </w:r>
      <w:r>
        <w:t xml:space="preserve">. It never seems to be applied to any other monarch. However, it is hard to believe that Angrok’s grandchildren could still be alive in 1350 CE, so it seems that</w:t>
      </w:r>
      <w:r>
        <w:t xml:space="preserve"> </w:t>
      </w:r>
      <w:r>
        <w:rPr>
          <w:i/>
          <w:iCs/>
        </w:rPr>
        <w:t xml:space="preserve">kaki</w:t>
      </w:r>
      <w:r>
        <w:t xml:space="preserve"> </w:t>
      </w:r>
      <w:r>
        <w:t xml:space="preserve">is used in the more general sense of “venerable, elder”.</w:t>
      </w:r>
    </w:p>
  </w:footnote>
  <w:footnote w:id="12">
    <w:p>
      <w:pPr>
        <w:pStyle w:val="FootnoteText"/>
      </w:pPr>
      <w:r>
        <w:rPr>
          <w:rStyle w:val="FootnoteReference"/>
        </w:rPr>
        <w:footnoteRef/>
      </w:r>
      <w:r>
        <w:t xml:space="preserve"> </w:t>
      </w:r>
      <w:r>
        <w:t xml:space="preserve">Or is it possible that Pupon was the byname of Raṅgah Avar-Avar, so that Raṅgah Sapu had only one attendant? The fact that the text does not mention Raṅgah Avar-Avar again which it does mention Raṅgah Sapu and Pupon again in lines 10–11 may suggest this.</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bibliography/entry/Zoetmulder1982_01" TargetMode="External" /><Relationship Type="http://schemas.openxmlformats.org/officeDocument/2006/relationships/hyperlink" Id="rId14" Target="https://doi.org/10.3406/befeo.1952.5158" TargetMode="External" /><Relationship Type="http://schemas.openxmlformats.org/officeDocument/2006/relationships/hyperlink" Id="rId16" Target="https://doi.org/10.3406/befeo.1955.5406" TargetMode="External" /><Relationship Type="http://schemas.openxmlformats.org/officeDocument/2006/relationships/hyperlink" Id="rId13" Target="https://resolver.kb.nl/resolve?urn=MMKITLV3:002506001:00001" TargetMode="External" /><Relationship Type="http://schemas.openxmlformats.org/officeDocument/2006/relationships/hyperlink" Id="rId15" Target="https://www.persee.fr/doc/befeo_0336-1519_1952_num_46_1_5158" TargetMode="External" /><Relationship Type="http://schemas.openxmlformats.org/officeDocument/2006/relationships/hyperlink" Id="rId17" Target="https://www.persee.fr/doc/befeo_0336-1519_1955_num_47_1_5406"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bibliography/entry/Zoetmulder1982_01" TargetMode="External" /><Relationship Type="http://schemas.openxmlformats.org/officeDocument/2006/relationships/hyperlink" Id="rId14" Target="https://doi.org/10.3406/befeo.1952.5158" TargetMode="External" /><Relationship Type="http://schemas.openxmlformats.org/officeDocument/2006/relationships/hyperlink" Id="rId16" Target="https://doi.org/10.3406/befeo.1955.5406" TargetMode="External" /><Relationship Type="http://schemas.openxmlformats.org/officeDocument/2006/relationships/hyperlink" Id="rId13" Target="https://resolver.kb.nl/resolve?urn=MMKITLV3:002506001:00001" TargetMode="External" /><Relationship Type="http://schemas.openxmlformats.org/officeDocument/2006/relationships/hyperlink" Id="rId15" Target="https://www.persee.fr/doc/befeo_0336-1519_1952_num_46_1_5158" TargetMode="External" /><Relationship Type="http://schemas.openxmlformats.org/officeDocument/2006/relationships/hyperlink" Id="rId17" Target="https://www.persee.fr/doc/befeo_0336-1519_1955_num_47_1_5406"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of a Dam Called Śilāmaṇi-kuṇḍala (1272 Śaka)</dc:title>
  <dc:creator>Arlo Griffiths</dc:creator>
  <cp:keywords/>
  <dcterms:created xsi:type="dcterms:W3CDTF">2026-09-30T16:12:16Z</dcterms:created>
  <dcterms:modified xsi:type="dcterms:W3CDTF">2026-09-30T16:12:16Z</dcterms:modified>
</cp:coreProperties>
</file>

<file path=docProps/custom.xml><?xml version="1.0" encoding="utf-8"?>
<Properties xmlns="http://schemas.openxmlformats.org/officeDocument/2006/custom-properties" xmlns:vt="http://schemas.openxmlformats.org/officeDocument/2006/docPropsVTypes"/>
</file>