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Linggawangi</w:t>
      </w:r>
    </w:p>
    <w:p>
      <w:pPr>
        <w:pStyle w:val="Author"/>
      </w:pPr>
      <w:r>
        <w:t xml:space="preserve">Aditia Gunawan and Arlo Griffiths</w:t>
      </w:r>
    </w:p>
    <w:p>
      <w:pPr>
        <w:pStyle w:val="FirstParagraph"/>
      </w:pPr>
      <w:r>
        <w:t xml:space="preserve">Authors of digital edition: Aditia Gunawan, Arlo Griffiths</w:t>
      </w:r>
    </w:p>
    <w:p>
      <w:pPr>
        <w:pStyle w:val="BodyText"/>
      </w:pPr>
      <w:r>
        <w:t xml:space="preserve">Contributor: Aditia Gunawan</w:t>
      </w:r>
    </w:p>
    <w:p>
      <w:pPr>
        <w:pStyle w:val="BodyText"/>
      </w:pPr>
      <w:r>
        <w:t xml:space="preserve">Identifier: DHARMA_INSIDENKLinggawangi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xml/DHARMA_INSIDENKLinggawangi.xml</w:t>
      </w:r>
    </w:p>
    <w:p>
      <w:pPr>
        <w:pStyle w:val="BodyText"/>
      </w:pPr>
      <w:r>
        <w:t xml:space="preserve">Language: Old Sundanese [Script (unspecified)]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(//) ba 3 guna 3 Apuy· 3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di</w:t>
      </w:r>
      <w:r>
        <w:t xml:space="preserve"> </w:t>
      </w:r>
      <w:r>
        <w:rPr>
          <w:rStyle w:val="ColorMagenta"/>
        </w:rPr>
        <w:t xml:space="preserve">¡vva!</w:t>
      </w:r>
      <w:r>
        <w:rPr>
          <w:rStyle w:val="ColorBlue"/>
        </w:rPr>
        <w:t xml:space="preserve">⟨vvaṁ⟩</w:t>
      </w:r>
      <w:r>
        <w:t xml:space="preserve"> </w:t>
      </w:r>
      <w:r>
        <w:t xml:space="preserve">1, Iti sakakala rumata</w:t>
      </w:r>
      <w:r>
        <w:rPr>
          <w:rStyle w:val="ColorGray"/>
        </w:rPr>
        <w:t xml:space="preserve">⟨3⟩</w:t>
      </w:r>
      <w:r>
        <w:t xml:space="preserve">k·</w:t>
      </w:r>
      <w:r>
        <w:t xml:space="preserve"> </w:t>
      </w:r>
      <w:r>
        <w:rPr>
          <w:rStyle w:val="ColorMagenta"/>
        </w:rPr>
        <w:t xml:space="preserve">¡disusuku!</w:t>
      </w:r>
      <w:r>
        <w:rPr>
          <w:rStyle w:val="ColorBlue"/>
        </w:rPr>
        <w:t xml:space="preserve">⟨disusuk ku⟩</w:t>
      </w:r>
      <w:r>
        <w:t xml:space="preserve"> </w:t>
      </w:r>
      <w:r>
        <w:t xml:space="preserve">baṭāri hyaṁ pun·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(//) ba HD ⬦</w:t>
      </w:r>
      <w:r>
        <w:t xml:space="preserve"> </w:t>
      </w:r>
      <w:r>
        <w:rPr>
          <w:rStyle w:val="ColorGreen"/>
          <w:i/>
          <w:iCs/>
        </w:rPr>
        <w:t xml:space="preserve">// baḥ</w:t>
      </w:r>
      <w:r>
        <w:t xml:space="preserve"> </w:t>
      </w:r>
      <w:r>
        <w:t xml:space="preserve">H;</w:t>
      </w:r>
      <w:r>
        <w:t xml:space="preserve"> </w:t>
      </w:r>
      <w:r>
        <w:rPr>
          <w:rStyle w:val="ColorGreen"/>
          <w:i/>
          <w:iCs/>
        </w:rPr>
        <w:t xml:space="preserve">ṭraba</w:t>
      </w:r>
      <w:r>
        <w:t xml:space="preserve"> </w:t>
      </w:r>
      <w:r>
        <w:t xml:space="preserve">SD • Instead of an opening punctuation sign, it may be possible to read</w:t>
      </w:r>
      <w:r>
        <w:t xml:space="preserve"> </w:t>
      </w:r>
      <w:r>
        <w:rPr>
          <w:i/>
          <w:iCs/>
        </w:rPr>
        <w:t xml:space="preserve">A</w:t>
      </w:r>
      <w:r>
        <w:t xml:space="preserve">, in which case the first word would be</w:t>
      </w:r>
      <w:r>
        <w:t xml:space="preserve"> </w:t>
      </w:r>
      <w:r>
        <w:rPr>
          <w:i/>
          <w:iCs/>
        </w:rPr>
        <w:t xml:space="preserve">Aba</w:t>
      </w:r>
      <w:r>
        <w:t xml:space="preserve">. Noorduyn (</w:t>
      </w:r>
      <w:hyperlink r:id="rId9">
        <w:r>
          <w:rPr>
            <w:rStyle w:val="Hyperlink"/>
          </w:rPr>
          <w:t xml:space="preserve">1993</w:t>
        </w:r>
      </w:hyperlink>
      <w:r>
        <w:t xml:space="preserve">, p. 313) notes that</w:t>
      </w:r>
      <w:r>
        <w:t xml:space="preserve"> </w:t>
      </w:r>
      <w:r>
        <w:rPr>
          <w:i/>
          <w:iCs/>
        </w:rPr>
        <w:t xml:space="preserve">ba</w:t>
      </w:r>
      <w:r>
        <w:t xml:space="preserve"> </w:t>
      </w:r>
      <w:r>
        <w:t xml:space="preserve">means 3 in one or more chronograms of the</w:t>
      </w:r>
      <w:r>
        <w:t xml:space="preserve"> </w:t>
      </w:r>
      <w:r>
        <w:rPr>
          <w:i/>
          <w:iCs/>
        </w:rPr>
        <w:t xml:space="preserve">Pararaton</w:t>
      </w:r>
      <w:r>
        <w:t xml:space="preserve">. Zoetmulder (</w:t>
      </w:r>
      <w:hyperlink r:id="rId10">
        <w:r>
          <w:rPr>
            <w:rStyle w:val="Hyperlink"/>
          </w:rPr>
          <w:t xml:space="preserve">1982</w:t>
        </w:r>
      </w:hyperlink>
      <w:r>
        <w:t xml:space="preserve">, s.v. wārecords the word</w:t>
      </w:r>
      <w:r>
        <w:t xml:space="preserve"> </w:t>
      </w:r>
      <w:r>
        <w:rPr>
          <w:i/>
          <w:iCs/>
        </w:rPr>
        <w:t xml:space="preserve">ba</w:t>
      </w:r>
      <w:r>
        <w:t xml:space="preserve"> </w:t>
      </w:r>
      <w:r>
        <w:t xml:space="preserve">as a synonym of</w:t>
      </w:r>
      <w:r>
        <w:t xml:space="preserve"> </w:t>
      </w:r>
      <w:r>
        <w:rPr>
          <w:i/>
          <w:iCs/>
        </w:rPr>
        <w:t xml:space="preserve">wā</w:t>
      </w:r>
      <w:r>
        <w:t xml:space="preserve">: “II 1. live coal, piece of burning material which is aglow”, and “2. =</w:t>
      </w:r>
      <w:r>
        <w:t xml:space="preserve"> </w:t>
      </w:r>
      <w:r>
        <w:rPr>
          <w:i/>
          <w:iCs/>
        </w:rPr>
        <w:t xml:space="preserve">ava</w:t>
      </w:r>
      <w:r>
        <w:t xml:space="preserve"> </w:t>
      </w:r>
      <w:r>
        <w:t xml:space="preserve">bright, clear, shining”.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guna 3 HD ⬦</w:t>
      </w:r>
      <w:r>
        <w:t xml:space="preserve"> </w:t>
      </w:r>
      <w:r>
        <w:rPr>
          <w:rStyle w:val="ColorGreen"/>
          <w:i/>
          <w:iCs/>
        </w:rPr>
        <w:t xml:space="preserve">gunṇa</w:t>
      </w:r>
      <w:r>
        <w:t xml:space="preserve"> </w:t>
      </w:r>
      <w:r>
        <w:t xml:space="preserve">SD.</w:t>
      </w:r>
    </w:p>
    <w:p>
      <w:pPr>
        <w:pStyle w:val="BodyText"/>
      </w:pPr>
      <w:r>
        <w:rPr>
          <w:rStyle w:val="ColorGray"/>
        </w:rPr>
        <w:t xml:space="preserve">⟨1-2⟩</w:t>
      </w:r>
      <w:r>
        <w:t xml:space="preserve"> </w:t>
      </w:r>
      <w:r>
        <w:t xml:space="preserve">3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di</w:t>
      </w:r>
      <w:r>
        <w:t xml:space="preserve"> </w:t>
      </w:r>
      <w:r>
        <w:rPr>
          <w:rStyle w:val="ColorMagenta"/>
        </w:rPr>
        <w:t xml:space="preserve">¡vva!</w:t>
      </w:r>
      <w:r>
        <w:rPr>
          <w:rStyle w:val="ColorBlue"/>
        </w:rPr>
        <w:t xml:space="preserve">⟨vvaṁ⟩</w:t>
      </w:r>
      <w:r>
        <w:t xml:space="preserve"> </w:t>
      </w:r>
      <w:r>
        <w:t xml:space="preserve">HD ⬦</w:t>
      </w:r>
      <w:r>
        <w:t xml:space="preserve"> </w:t>
      </w:r>
      <w:r>
        <w:rPr>
          <w:rStyle w:val="ColorGreen"/>
          <w:i/>
          <w:iCs/>
        </w:rPr>
        <w:t xml:space="preserve">naṣṭa</w:t>
      </w:r>
      <w:r>
        <w:t xml:space="preserve"> </w:t>
      </w:r>
      <w:r>
        <w:t xml:space="preserve">SD.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1, Iti HD ⬦</w:t>
      </w:r>
      <w:r>
        <w:t xml:space="preserve"> </w:t>
      </w:r>
      <w:r>
        <w:rPr>
          <w:rStyle w:val="ColorGreen"/>
          <w:i/>
          <w:iCs/>
        </w:rPr>
        <w:t xml:space="preserve">gomati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rumata</w:t>
      </w:r>
      <w:r>
        <w:rPr>
          <w:rStyle w:val="ColorGray"/>
        </w:rPr>
        <w:t xml:space="preserve">⟨3⟩</w:t>
      </w:r>
      <w:r>
        <w:t xml:space="preserve">k· HD ⬦</w:t>
      </w:r>
      <w:r>
        <w:t xml:space="preserve"> </w:t>
      </w:r>
      <w:r>
        <w:rPr>
          <w:rStyle w:val="ColorGreen"/>
          <w:i/>
          <w:iCs/>
        </w:rPr>
        <w:t xml:space="preserve">numatak</w:t>
      </w:r>
      <w:r>
        <w:t xml:space="preserve"> </w:t>
      </w:r>
      <w:r>
        <w:t xml:space="preserve">SD.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rPr>
          <w:rStyle w:val="ColorMagenta"/>
        </w:rPr>
        <w:t xml:space="preserve">¡disusuku!</w:t>
      </w:r>
      <w:r>
        <w:rPr>
          <w:rStyle w:val="ColorBlue"/>
        </w:rPr>
        <w:t xml:space="preserve">⟨disusuk ku⟩</w:t>
      </w:r>
      <w:r>
        <w:t xml:space="preserve"> </w:t>
      </w:r>
      <w:r>
        <w:t xml:space="preserve">• For the same phenomenon of consonant degemination, cf. manuscript Perpusnas L 426B, no. 13:</w:t>
      </w:r>
      <w:r>
        <w:t xml:space="preserve"> </w:t>
      </w:r>
      <w:r>
        <w:rPr>
          <w:i/>
          <w:iCs/>
        </w:rPr>
        <w:t xml:space="preserve">hya</w:t>
      </w:r>
      <w:r>
        <w:rPr>
          <w:i/>
          <w:iCs/>
        </w:rPr>
        <w:t xml:space="preserve"> </w:t>
      </w:r>
      <w:r>
        <w:rPr>
          <w:rStyle w:val="ColorMagenta"/>
          <w:i/>
          <w:iCs/>
        </w:rPr>
        <w:t xml:space="preserve">¡pəpəku!</w:t>
      </w:r>
      <w:r>
        <w:rPr>
          <w:rStyle w:val="ColorBlue"/>
          <w:i/>
          <w:iCs/>
        </w:rPr>
        <w:t xml:space="preserve">⟨pəpək ku⟩</w:t>
      </w:r>
      <w:r>
        <w:rPr>
          <w:i/>
          <w:iCs/>
        </w:rPr>
        <w:t xml:space="preserve"> </w:t>
      </w:r>
      <w:r>
        <w:rPr>
          <w:i/>
          <w:iCs/>
        </w:rPr>
        <w:t xml:space="preserve">pənuḥ kita maṁke</w:t>
      </w:r>
      <w:r>
        <w:t xml:space="preserve"> </w:t>
      </w:r>
      <w:r>
        <w:t xml:space="preserve">“Now you are filled by fullness”.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Glowing 3 qualities 3 fires 3 in a human 1: that was the ⟨year in the⟩ Śaka era that Rumatak was marked off by Bhaṭārī Hyaṅ. Finished.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The inscription was first edited by Holle (1877, pp. 586–587, in Javanese script); it was edited again by Saleh Danasasmita (1975) and by Hasan Djafar (1991, pp. 16–18). Re-edited and translated here by Aditia Gunawan &amp; Arlo Griffiths, based on the OD photo.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[H]</w:t>
      </w:r>
      <w:r>
        <w:t xml:space="preserve"> </w:t>
      </w:r>
      <w:r>
        <w:t xml:space="preserve">Holle, Karel Frederik. 1877. “Beschreven steen uit de afdeeling Tasikmalaja, residentie Preanger.” TBG 24, pp. 586–587.</w:t>
      </w:r>
    </w:p>
    <w:p>
      <w:pPr>
        <w:pStyle w:val="BodyText"/>
      </w:pPr>
      <w:r>
        <w:rPr>
          <w:b/>
          <w:bCs/>
        </w:rPr>
        <w:t xml:space="preserve">[HD]</w:t>
      </w:r>
      <w:r>
        <w:t xml:space="preserve"> </w:t>
      </w:r>
      <w:r>
        <w:t xml:space="preserve">Hasan Djafar. 1991. “Prasasti-prasasti dari masa kerajaan-kerajaan Sunda.” In:</w:t>
      </w:r>
      <w:r>
        <w:t xml:space="preserve"> </w:t>
      </w:r>
      <w:r>
        <w:rPr>
          <w:i/>
          <w:iCs/>
        </w:rPr>
        <w:t xml:space="preserve">Seminar nasional sastra dan sejarah Pakuan Pajajaran: Proceedings</w:t>
      </w:r>
      <w:r>
        <w:t xml:space="preserve">. Bogor: Universitas Pakuan Bogor dan Yayasan Pembangunan Jawa Barat, pp. 1–35.</w:t>
      </w:r>
    </w:p>
    <w:p>
      <w:pPr>
        <w:pStyle w:val="BodyText"/>
      </w:pPr>
      <w:r>
        <w:rPr>
          <w:b/>
          <w:bCs/>
        </w:rPr>
        <w:t xml:space="preserve">[SD]</w:t>
      </w:r>
      <w:r>
        <w:t xml:space="preserve"> </w:t>
      </w:r>
      <w:r>
        <w:t xml:space="preserve">Saleh Danasasmita. 1975.</w:t>
      </w:r>
      <w:r>
        <w:t xml:space="preserve"> </w:t>
      </w:r>
      <w:r>
        <w:rPr>
          <w:i/>
          <w:iCs/>
        </w:rPr>
        <w:t xml:space="preserve">Masalah transkripsi prasasti Batutulis (Bogor) dan tradisi megalitiknya</w:t>
      </w:r>
      <w:r>
        <w:t xml:space="preserve">. Seri monografi Lembaga Kebudayaan Universitas Pajajaran 8. Bandung: Lembaga Kebudayaan Universitas Pajajaran.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No name. 1912–1949.</w:t>
      </w:r>
      <w:r>
        <w:t xml:space="preserve"> </w:t>
      </w:r>
      <w:r>
        <w:rPr>
          <w:i/>
          <w:iCs/>
        </w:rPr>
        <w:t xml:space="preserve">Oudheidkundig verslag</w:t>
      </w:r>
      <w:r>
        <w:t xml:space="preserve">. No place: Bataviaasch Genootschap van Kunsten en Wetenschappen. Page 84.</w:t>
      </w:r>
    </w:p>
    <w:p>
      <w:pPr>
        <w:pStyle w:val="BodyText"/>
      </w:pPr>
      <w:r>
        <w:t xml:space="preserve">Verbeek, Rogier Diederik Marius. 1891.</w:t>
      </w:r>
      <w:r>
        <w:t xml:space="preserve"> </w:t>
      </w:r>
      <w:r>
        <w:rPr>
          <w:i/>
          <w:iCs/>
        </w:rPr>
        <w:t xml:space="preserve">Oudheden van Java: Lijst der voornaamste overblijfselen uit den Hindoetijd op Java, met eene oudheidkundige kaart</w:t>
      </w:r>
      <w:r>
        <w:t xml:space="preserve">. Verhandelingen van het Bataviaasch Genootschap van Kunsten en Wetenschappen 46. Batavia; ’s-Hage: Landsdrukkerij; Nijhoff.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Pages 52–53.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archive.org/details/verhandelingenv461891bata" TargetMode="External" /><Relationship Type="http://schemas.openxmlformats.org/officeDocument/2006/relationships/hyperlink" Id="rId9" Target="https://dharmalekha.info/bibliography/entry/Noorduyn1993_01" TargetMode="External" /><Relationship Type="http://schemas.openxmlformats.org/officeDocument/2006/relationships/hyperlink" Id="rId10" Target="https://dharmalekha.info/bibliography/entry/Zoetmulder1982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archive.org/details/verhandelingenv461891bata" TargetMode="External" /><Relationship Type="http://schemas.openxmlformats.org/officeDocument/2006/relationships/hyperlink" Id="rId9" Target="https://dharmalekha.info/bibliography/entry/Noorduyn1993_01" TargetMode="External" /><Relationship Type="http://schemas.openxmlformats.org/officeDocument/2006/relationships/hyperlink" Id="rId10" Target="https://dharmalekha.info/bibliography/entry/Zoetmulder1982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Linggawangi</dc:title>
  <dc:creator>Aditia Gunawan and Arlo Griffiths</dc:creator>
  <cp:keywords/>
  <dcterms:created xsi:type="dcterms:W3CDTF">2026-10-26T16:59:11Z</dcterms:created>
  <dcterms:modified xsi:type="dcterms:W3CDTF">2026-10-26T16:59:11Z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