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Kebantenan 4</w:t>
      </w:r>
    </w:p>
    <w:p>
      <w:pPr>
        <w:pStyle w:val="Author"/>
      </w:pPr>
      <w:r>
        <w:t xml:space="preserve">Aditia Gunawan and Arlo Griffiths</w:t>
      </w:r>
    </w:p>
    <w:p>
      <w:pPr>
        <w:pStyle w:val="FirstParagraph"/>
      </w:pPr>
      <w:r>
        <w:t xml:space="preserve">Authors of digital edition: Aditia Gunawan, Arlo Griffiths</w:t>
      </w:r>
    </w:p>
    <w:p>
      <w:pPr>
        <w:pStyle w:val="BodyText"/>
      </w:pPr>
      <w:r>
        <w:t xml:space="preserve">Contributor: Aditia Gunawan</w:t>
      </w:r>
    </w:p>
    <w:p>
      <w:pPr>
        <w:pStyle w:val="BodyText"/>
      </w:pPr>
      <w:r>
        <w:t xml:space="preserve">Identifier: DHARMA_INSIDENKKebantenan_4</w:t>
      </w:r>
    </w:p>
    <w:p>
      <w:pPr>
        <w:pStyle w:val="BodyText"/>
      </w:pPr>
      <w:r>
        <w:t xml:space="preserve">Repository: Nusantara Epigraphy (tfc-nusantara-epigraphy)</w:t>
      </w:r>
    </w:p>
    <w:p>
      <w:pPr>
        <w:pStyle w:val="BodyText"/>
      </w:pPr>
      <w:r>
        <w:t xml:space="preserve">File path: xml/DHARMA_INSIDENKKebantenan_4.xml</w:t>
      </w:r>
    </w:p>
    <w:p>
      <w:pPr>
        <w:pStyle w:val="BodyText"/>
      </w:pPr>
      <w:r>
        <w:t xml:space="preserve">Language: Old Sundanese [Script (unspecified)]</w:t>
      </w:r>
    </w:p>
    <w:p>
      <w:pPr>
        <w:pStyle w:val="BodyText"/>
      </w:pPr>
      <w:r>
        <w:t xml:space="preserve">Commit: 2026-09-25 06:15 (19d0d3f), last modified 2026-09-09 14:27 (72454d8)</w:t>
      </w:r>
    </w:p>
    <w:p>
      <w:pPr>
        <w:pStyle w:val="Heading1"/>
      </w:pPr>
      <w:r>
        <w:t xml:space="preserve">Palaeographic description</w:t>
      </w:r>
    </w:p>
    <w:p>
      <w:pPr>
        <w:pStyle w:val="FirstParagraph"/>
      </w:pPr>
      <w:r>
        <w:t xml:space="preserve">See the description in</w:t>
      </w:r>
      <w:r>
        <w:t xml:space="preserve"> </w:t>
      </w:r>
      <w:hyperlink r:id="rId9">
        <w:r>
          <w:rPr>
            <w:rStyle w:val="Hyperlink"/>
          </w:rPr>
          <w:t xml:space="preserve">Kebantenan 1</w:t>
        </w:r>
      </w:hyperlink>
      <w:r>
        <w:t xml:space="preserve">.</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⟨1r1⟩</w:t>
      </w:r>
      <w:r>
        <w:rPr>
          <w:rStyle w:val="ColorGray"/>
        </w:rPr>
        <w:t xml:space="preserve"> </w:t>
      </w:r>
      <w:r>
        <w:t xml:space="preserve">// ⊖ // pun· Ini pitəkət· sri baḍuga maharaja ratu haji ḍi pakvan· sri saṁ ratu ⌈</w:t>
      </w:r>
      <w:r>
        <w:rPr>
          <w:rStyle w:val="ColorGray"/>
        </w:rPr>
        <w:t xml:space="preserve">⟨1r2⟩</w:t>
      </w:r>
      <w:r>
        <w:t xml:space="preserve">ḍevata,</w:t>
      </w:r>
    </w:p>
    <w:p>
      <w:pPr>
        <w:pStyle w:val="BodyText"/>
      </w:pPr>
      <w:r>
        <w:t xml:space="preserve">nu ḍipitəkətan· ma na L̥maḥ ḍevasasana, ḍi gunuṁ samaya</w:t>
      </w:r>
    </w:p>
    <w:p>
      <w:pPr>
        <w:pStyle w:val="BodyText"/>
      </w:pPr>
      <w:r>
        <w:t xml:space="preserve">sugan·n aya</w:t>
      </w:r>
      <w:r>
        <w:rPr>
          <w:rStyle w:val="ColorGray"/>
        </w:rPr>
        <w:t xml:space="preserve"> </w:t>
      </w:r>
      <w:r>
        <w:rPr>
          <w:rStyle w:val="ColorGray"/>
        </w:rPr>
        <w:t xml:space="preserve">⟨1r3⟩</w:t>
      </w:r>
      <w:r>
        <w:rPr>
          <w:rStyle w:val="ColorGray"/>
        </w:rPr>
        <w:t xml:space="preserve"> </w:t>
      </w:r>
      <w:r>
        <w:t xml:space="preserve">nu ḍek· ṅahəriAnan· Iña, ku paluluraḥhan· ku paL̥L̥maḥhan· mulaḥ Aya</w:t>
      </w:r>
      <w:r>
        <w:rPr>
          <w:rStyle w:val="ColorGray"/>
        </w:rPr>
        <w:t xml:space="preserve"> </w:t>
      </w:r>
      <w:r>
        <w:rPr>
          <w:rStyle w:val="ColorGray"/>
        </w:rPr>
        <w:t xml:space="preserve">⟨1r4⟩</w:t>
      </w:r>
      <w:r>
        <w:rPr>
          <w:rStyle w:val="ColorGray"/>
        </w:rPr>
        <w:t xml:space="preserve"> </w:t>
      </w:r>
      <w:r>
        <w:t xml:space="preserve">nu ṅahəriyanan· Iña, ti timur ha⟨ṁ⟩gat· ciUpiḥ ti barat· ha⟨ṁ⟩gat· ciləbu</w:t>
      </w:r>
      <w:r>
        <w:rPr>
          <w:rStyle w:val="ColorGray"/>
        </w:rPr>
        <w:t xml:space="preserve"> </w:t>
      </w:r>
      <w:r>
        <w:rPr>
          <w:rStyle w:val="ColorGray"/>
        </w:rPr>
        <w:t xml:space="preserve">⟨1r5⟩</w:t>
      </w:r>
      <w:r>
        <w:rPr>
          <w:rStyle w:val="ColorGray"/>
        </w:rPr>
        <w:t xml:space="preserve"> </w:t>
      </w:r>
      <w:r>
        <w:t xml:space="preserve">ti kidul· ha⟨ṁ⟩gat· jalan· gəḍe pun·</w:t>
      </w:r>
    </w:p>
    <w:p>
      <w:pPr>
        <w:pStyle w:val="BodyText"/>
      </w:pPr>
      <w:r>
        <w:t xml:space="preserve">mulaḥ Aya nu ṅahəriAnan· Iña ku ḍa</w:t>
      </w:r>
      <w:r>
        <w:rPr>
          <w:rStyle w:val="ColorGray"/>
        </w:rPr>
        <w:t xml:space="preserve">⟨1r6⟩</w:t>
      </w:r>
      <w:r>
        <w:t xml:space="preserve">sa ku calagara Upəti paṁgəR̥s· R̥ma Ulaḥ Aya nu me⟨n⟩taAn· Iña ⌈</w:t>
      </w:r>
      <w:r>
        <w:rPr>
          <w:rStyle w:val="ColorGray"/>
        </w:rPr>
        <w:t xml:space="preserve">⟨1r7⟩</w:t>
      </w:r>
      <w:r>
        <w:t xml:space="preserve">kena, saṁgar kami ratu nu puraḥ mibuhayakən· na karatu(ya)n· nu pagəḥ ṅavakan·</w:t>
      </w:r>
      <w:r>
        <w:rPr>
          <w:rStyle w:val="ColorGray"/>
        </w:rPr>
        <w:t xml:space="preserve"> </w:t>
      </w:r>
      <w:r>
        <w:rPr>
          <w:rStyle w:val="ColorGray"/>
        </w:rPr>
        <w:t xml:space="preserve">⟨1r8⟩</w:t>
      </w:r>
      <w:r>
        <w:rPr>
          <w:rStyle w:val="ColorGray"/>
        </w:rPr>
        <w:t xml:space="preserve"> </w:t>
      </w:r>
      <w:r>
        <w:t xml:space="preserve">na ḍevasasana pun· ⊖ ⊖</w:t>
      </w:r>
    </w:p>
    <w:p>
      <w:pPr>
        <w:pStyle w:val="Heading1"/>
      </w:pPr>
      <w:r>
        <w:t xml:space="preserve">Apparatus</w:t>
      </w:r>
    </w:p>
    <w:p>
      <w:pPr>
        <w:pStyle w:val="FirstParagraph"/>
      </w:pPr>
      <w:r>
        <w:rPr>
          <w:rStyle w:val="ColorGray"/>
        </w:rPr>
        <w:t xml:space="preserve">⟨1r2⟩</w:t>
      </w:r>
      <w:r>
        <w:t xml:space="preserve"> </w:t>
      </w:r>
      <w:r>
        <w:t xml:space="preserve">ma na ⬦</w:t>
      </w:r>
      <w:r>
        <w:t xml:space="preserve"> </w:t>
      </w:r>
      <w:r>
        <w:rPr>
          <w:rStyle w:val="ColorGreen"/>
          <w:i/>
          <w:iCs/>
        </w:rPr>
        <w:t xml:space="preserve">mana</w:t>
      </w:r>
      <w:r>
        <w:t xml:space="preserve"> </w:t>
      </w:r>
      <w:r>
        <w:t xml:space="preserve">H P B HD • B &amp; HD with a note: “[baca: nana]”. —</w:t>
      </w:r>
      <w:r>
        <w:t xml:space="preserve"> </w:t>
      </w:r>
      <w:r>
        <w:rPr>
          <w:rStyle w:val="ColorGray"/>
        </w:rPr>
        <w:t xml:space="preserve">⟨1r2⟩</w:t>
      </w:r>
      <w:r>
        <w:t xml:space="preserve"> </w:t>
      </w:r>
      <w:r>
        <w:t xml:space="preserve">sugan·n aya HD ⬦</w:t>
      </w:r>
      <w:r>
        <w:t xml:space="preserve"> </w:t>
      </w:r>
      <w:r>
        <w:rPr>
          <w:rStyle w:val="ColorGreen"/>
          <w:i/>
          <w:iCs/>
        </w:rPr>
        <w:t xml:space="preserve">sugan aya</w:t>
      </w:r>
      <w:r>
        <w:t xml:space="preserve"> </w:t>
      </w:r>
      <w:r>
        <w:t xml:space="preserve">H P;</w:t>
      </w:r>
      <w:r>
        <w:t xml:space="preserve"> </w:t>
      </w:r>
      <w:r>
        <w:rPr>
          <w:rStyle w:val="ColorGreen"/>
          <w:i/>
          <w:iCs/>
        </w:rPr>
        <w:t xml:space="preserve">sugana</w:t>
      </w:r>
      <w:r>
        <w:t xml:space="preserve"> </w:t>
      </w:r>
      <w:r>
        <w:t xml:space="preserve">B.</w:t>
      </w:r>
    </w:p>
    <w:p>
      <w:pPr>
        <w:pStyle w:val="BodyText"/>
      </w:pPr>
      <w:r>
        <w:rPr>
          <w:rStyle w:val="ColorGray"/>
        </w:rPr>
        <w:t xml:space="preserve">⟨1r3⟩</w:t>
      </w:r>
      <w:r>
        <w:t xml:space="preserve"> </w:t>
      </w:r>
      <w:r>
        <w:t xml:space="preserve">ṅahəriAnan· H P ⬦</w:t>
      </w:r>
      <w:r>
        <w:t xml:space="preserve"> </w:t>
      </w:r>
      <w:r>
        <w:rPr>
          <w:rStyle w:val="ColorGreen"/>
          <w:i/>
          <w:iCs/>
        </w:rPr>
        <w:t xml:space="preserve">ṅahə:riyanan·</w:t>
      </w:r>
      <w:r>
        <w:t xml:space="preserve"> </w:t>
      </w:r>
      <w:r>
        <w:t xml:space="preserve">B HD.</w:t>
      </w:r>
    </w:p>
    <w:p>
      <w:pPr>
        <w:pStyle w:val="BodyText"/>
      </w:pPr>
      <w:r>
        <w:rPr>
          <w:rStyle w:val="ColorGray"/>
        </w:rPr>
        <w:t xml:space="preserve">⟨1r4⟩</w:t>
      </w:r>
      <w:r>
        <w:t xml:space="preserve"> </w:t>
      </w:r>
      <w:r>
        <w:t xml:space="preserve">ṅahəriyanan· ⬦</w:t>
      </w:r>
      <w:r>
        <w:t xml:space="preserve"> </w:t>
      </w:r>
      <w:r>
        <w:rPr>
          <w:rStyle w:val="ColorGreen"/>
          <w:i/>
          <w:iCs/>
        </w:rPr>
        <w:t xml:space="preserve">ṅahə:riAnan·</w:t>
      </w:r>
      <w:r>
        <w:t xml:space="preserve"> </w:t>
      </w:r>
      <w:r>
        <w:t xml:space="preserve">H P;</w:t>
      </w:r>
      <w:r>
        <w:t xml:space="preserve"> </w:t>
      </w:r>
      <w:r>
        <w:rPr>
          <w:rStyle w:val="ColorGreen"/>
          <w:i/>
          <w:iCs/>
        </w:rPr>
        <w:t xml:space="preserve">ṅahə:riyanan·</w:t>
      </w:r>
      <w:r>
        <w:t xml:space="preserve"> </w:t>
      </w:r>
      <w:r>
        <w:t xml:space="preserve">B HD. —</w:t>
      </w:r>
      <w:r>
        <w:t xml:space="preserve"> </w:t>
      </w:r>
      <w:r>
        <w:rPr>
          <w:rStyle w:val="ColorGray"/>
        </w:rPr>
        <w:t xml:space="preserve">⟨1r4⟩</w:t>
      </w:r>
      <w:r>
        <w:t xml:space="preserve"> </w:t>
      </w:r>
      <w:r>
        <w:t xml:space="preserve">ciləbu H P ⬦</w:t>
      </w:r>
      <w:r>
        <w:t xml:space="preserve"> </w:t>
      </w:r>
      <w:r>
        <w:rPr>
          <w:rStyle w:val="ColorGreen"/>
          <w:i/>
          <w:iCs/>
        </w:rPr>
        <w:t xml:space="preserve">ciL̥bu</w:t>
      </w:r>
      <w:r>
        <w:t xml:space="preserve"> </w:t>
      </w:r>
      <w:r>
        <w:t xml:space="preserve">B HD • Here</w:t>
      </w:r>
      <w:r>
        <w:t xml:space="preserve"> </w:t>
      </w:r>
      <w:r>
        <w:rPr>
          <w:i/>
          <w:iCs/>
        </w:rPr>
        <w:t xml:space="preserve">lə</w:t>
      </w:r>
      <w:r>
        <w:t xml:space="preserve"> </w:t>
      </w:r>
      <w:r>
        <w:t xml:space="preserve">is formed by</w:t>
      </w:r>
      <w:r>
        <w:t xml:space="preserve"> </w:t>
      </w:r>
      <w:r>
        <w:rPr>
          <w:i/>
          <w:iCs/>
        </w:rPr>
        <w:t xml:space="preserve">aksara l</w:t>
      </w:r>
      <w:r>
        <w:t xml:space="preserve"> </w:t>
      </w:r>
      <w:r>
        <w:t xml:space="preserve">and</w:t>
      </w:r>
      <w:r>
        <w:t xml:space="preserve"> </w:t>
      </w:r>
      <w:r>
        <w:rPr>
          <w:i/>
          <w:iCs/>
        </w:rPr>
        <w:t xml:space="preserve">pamepet</w:t>
      </w:r>
      <w:r>
        <w:t xml:space="preserve">. Note that Holle and Pleyte did not actually distinguish between</w:t>
      </w:r>
      <w:r>
        <w:t xml:space="preserve"> </w:t>
      </w:r>
      <w:r>
        <w:rPr>
          <w:i/>
          <w:iCs/>
        </w:rPr>
        <w:t xml:space="preserve">lə</w:t>
      </w:r>
      <w:r>
        <w:t xml:space="preserve"> </w:t>
      </w:r>
      <w:r>
        <w:t xml:space="preserve">and</w:t>
      </w:r>
      <w:r>
        <w:t xml:space="preserve"> </w:t>
      </w:r>
      <w:r>
        <w:rPr>
          <w:i/>
          <w:iCs/>
        </w:rPr>
        <w:t xml:space="preserve">L̥</w:t>
      </w:r>
      <w:r>
        <w:t xml:space="preserve">.</w:t>
      </w:r>
    </w:p>
    <w:p>
      <w:pPr>
        <w:pStyle w:val="BodyText"/>
      </w:pPr>
      <w:r>
        <w:rPr>
          <w:rStyle w:val="ColorGray"/>
        </w:rPr>
        <w:t xml:space="preserve">⟨1r5⟩</w:t>
      </w:r>
      <w:r>
        <w:t xml:space="preserve"> </w:t>
      </w:r>
      <w:r>
        <w:t xml:space="preserve">ṅahəriAnan· ⬦</w:t>
      </w:r>
      <w:r>
        <w:t xml:space="preserve"> </w:t>
      </w:r>
      <w:r>
        <w:rPr>
          <w:rStyle w:val="ColorGreen"/>
          <w:i/>
          <w:iCs/>
        </w:rPr>
        <w:t xml:space="preserve">ṅahə:riAnan·</w:t>
      </w:r>
      <w:r>
        <w:t xml:space="preserve"> </w:t>
      </w:r>
      <w:r>
        <w:t xml:space="preserve">H;</w:t>
      </w:r>
      <w:r>
        <w:t xml:space="preserve"> </w:t>
      </w:r>
      <w:r>
        <w:rPr>
          <w:rStyle w:val="ColorGreen"/>
          <w:i/>
          <w:iCs/>
        </w:rPr>
        <w:t xml:space="preserve">həriAnan</w:t>
      </w:r>
      <w:r>
        <w:t xml:space="preserve"> </w:t>
      </w:r>
      <w:r>
        <w:t xml:space="preserve">P;</w:t>
      </w:r>
      <w:r>
        <w:t xml:space="preserve"> </w:t>
      </w:r>
      <w:r>
        <w:rPr>
          <w:rStyle w:val="ColorGreen"/>
          <w:i/>
          <w:iCs/>
        </w:rPr>
        <w:t xml:space="preserve">ṅahə:riyanan·</w:t>
      </w:r>
      <w:r>
        <w:t xml:space="preserve"> </w:t>
      </w:r>
      <w:r>
        <w:t xml:space="preserve">B HD.</w:t>
      </w:r>
    </w:p>
    <w:p>
      <w:pPr>
        <w:pStyle w:val="BodyText"/>
      </w:pPr>
      <w:r>
        <w:rPr>
          <w:rStyle w:val="ColorGray"/>
        </w:rPr>
        <w:t xml:space="preserve">⟨1r6⟩</w:t>
      </w:r>
      <w:r>
        <w:t xml:space="preserve"> </w:t>
      </w:r>
      <w:r>
        <w:t xml:space="preserve">⌈</w:t>
      </w:r>
      <w:r>
        <w:rPr>
          <w:rStyle w:val="ColorGray"/>
        </w:rPr>
        <w:t xml:space="preserve">⟨1r7⟩</w:t>
      </w:r>
      <w:r>
        <w:t xml:space="preserve">kena, saṁgar ⬦</w:t>
      </w:r>
      <w:r>
        <w:t xml:space="preserve"> </w:t>
      </w:r>
      <w:r>
        <w:rPr>
          <w:rStyle w:val="ColorGreen"/>
          <w:i/>
          <w:iCs/>
        </w:rPr>
        <w:t xml:space="preserve">kena saṁgar</w:t>
      </w:r>
      <w:r>
        <w:t xml:space="preserve"> </w:t>
      </w:r>
      <w:r>
        <w:t xml:space="preserve">H P B HD • The punctuation mark after the word kena is superfluous because the word</w:t>
      </w:r>
      <w:r>
        <w:t xml:space="preserve"> </w:t>
      </w:r>
      <w:r>
        <w:rPr>
          <w:i/>
          <w:iCs/>
        </w:rPr>
        <w:t xml:space="preserve">kena</w:t>
      </w:r>
      <w:r>
        <w:t xml:space="preserve"> </w:t>
      </w:r>
      <w:r>
        <w:t xml:space="preserve">“for, because” is a conjunction.</w:t>
      </w:r>
    </w:p>
    <w:p>
      <w:pPr>
        <w:pStyle w:val="BodyText"/>
      </w:pPr>
      <w:r>
        <w:rPr>
          <w:rStyle w:val="ColorGray"/>
        </w:rPr>
        <w:t xml:space="preserve">⟨1r7⟩</w:t>
      </w:r>
      <w:r>
        <w:t xml:space="preserve"> </w:t>
      </w:r>
      <w:r>
        <w:t xml:space="preserve">mibuhayakən· na ⬦</w:t>
      </w:r>
      <w:r>
        <w:t xml:space="preserve"> </w:t>
      </w:r>
      <w:r>
        <w:rPr>
          <w:rStyle w:val="ColorGreen"/>
          <w:i/>
          <w:iCs/>
        </w:rPr>
        <w:t xml:space="preserve">mibuhayakə:na</w:t>
      </w:r>
      <w:r>
        <w:t xml:space="preserve"> </w:t>
      </w:r>
      <w:r>
        <w:t xml:space="preserve">H;</w:t>
      </w:r>
      <w:r>
        <w:t xml:space="preserve"> </w:t>
      </w:r>
      <w:r>
        <w:rPr>
          <w:rStyle w:val="ColorGreen"/>
          <w:i/>
          <w:iCs/>
        </w:rPr>
        <w:t xml:space="preserve">mibuhayakə:nna</w:t>
      </w:r>
      <w:r>
        <w:t xml:space="preserve"> </w:t>
      </w:r>
      <w:r>
        <w:t xml:space="preserve">P B;</w:t>
      </w:r>
      <w:r>
        <w:t xml:space="preserve"> </w:t>
      </w:r>
      <w:r>
        <w:rPr>
          <w:rStyle w:val="ColorGreen"/>
          <w:i/>
          <w:iCs/>
        </w:rPr>
        <w:t xml:space="preserve">mibuhayakə:n·na</w:t>
      </w:r>
      <w:r>
        <w:t xml:space="preserve"> </w:t>
      </w:r>
      <w:r>
        <w:t xml:space="preserve">HD. —</w:t>
      </w:r>
      <w:r>
        <w:t xml:space="preserve"> </w:t>
      </w:r>
      <w:r>
        <w:rPr>
          <w:rStyle w:val="ColorGray"/>
        </w:rPr>
        <w:t xml:space="preserve">⟨1r7⟩</w:t>
      </w:r>
      <w:r>
        <w:t xml:space="preserve"> </w:t>
      </w:r>
      <w:r>
        <w:t xml:space="preserve">karatu(ya)n ⬦</w:t>
      </w:r>
      <w:r>
        <w:t xml:space="preserve"> </w:t>
      </w:r>
      <w:r>
        <w:rPr>
          <w:rStyle w:val="ColorGreen"/>
          <w:i/>
          <w:iCs/>
        </w:rPr>
        <w:t xml:space="preserve">ka ratu pun·</w:t>
      </w:r>
      <w:r>
        <w:t xml:space="preserve"> </w:t>
      </w:r>
      <w:r>
        <w:t xml:space="preserve">H P B HD • This part is not clear due to the fourth aksara being very faint, but when Aditia Gunawan inspected the plate he did not see any</w:t>
      </w:r>
      <w:r>
        <w:t xml:space="preserve"> </w:t>
      </w:r>
      <w:r>
        <w:rPr>
          <w:i/>
          <w:iCs/>
        </w:rPr>
        <w:t xml:space="preserve">panyuku</w:t>
      </w:r>
      <w:r>
        <w:t xml:space="preserve">, and observed that the character has three vertical strokes.</w:t>
      </w:r>
    </w:p>
    <w:p>
      <w:pPr>
        <w:pStyle w:val="Heading1"/>
      </w:pPr>
      <w:r>
        <w:t xml:space="preserve">Translation</w:t>
      </w:r>
    </w:p>
    <w:p>
      <w:pPr>
        <w:pStyle w:val="FirstParagraph"/>
      </w:pPr>
      <w:r>
        <w:t xml:space="preserve">This is the decree of Sri Baduga Maharaja, the king of kings in Pakuan, Sri Sang Ratu Déwata. That which is made the object of decree is the land of divine ordinance on Mount Samaya in order that there may be no one who burdens it by the taxes of territory (</w:t>
      </w:r>
      <w:r>
        <w:rPr>
          <w:i/>
          <w:iCs/>
        </w:rPr>
        <w:t xml:space="preserve">palulurahan</w:t>
      </w:r>
      <w:r>
        <w:t xml:space="preserve">) ⟨and⟩ by the taxes of land (</w:t>
      </w:r>
      <w:r>
        <w:rPr>
          <w:i/>
          <w:iCs/>
        </w:rPr>
        <w:t xml:space="preserve">palələmahan</w:t>
      </w:r>
      <w:r>
        <w:t xml:space="preserve">). May no one burden it: in the east the limit is Ciupih; in the west the limit is Ciləbu; in the south the limit is the highway. May no one burden it by</w:t>
      </w:r>
      <w:r>
        <w:t xml:space="preserve"> </w:t>
      </w:r>
      <w:r>
        <w:rPr>
          <w:i/>
          <w:iCs/>
        </w:rPr>
        <w:t xml:space="preserve">dasa</w:t>
      </w:r>
      <w:r>
        <w:t xml:space="preserve">, by</w:t>
      </w:r>
      <w:r>
        <w:t xml:space="preserve"> </w:t>
      </w:r>
      <w:r>
        <w:rPr>
          <w:i/>
          <w:iCs/>
        </w:rPr>
        <w:t xml:space="preserve">calagara</w:t>
      </w:r>
      <w:r>
        <w:t xml:space="preserve">, tribute (</w:t>
      </w:r>
      <w:r>
        <w:rPr>
          <w:i/>
          <w:iCs/>
        </w:rPr>
        <w:t xml:space="preserve">upəti</w:t>
      </w:r>
      <w:r>
        <w:t xml:space="preserve">), and levies on fallow rice-field land (</w:t>
      </w:r>
      <w:r>
        <w:rPr>
          <w:i/>
          <w:iCs/>
        </w:rPr>
        <w:t xml:space="preserve">paṅgərəs rəma</w:t>
      </w:r>
      <w:r>
        <w:t xml:space="preserve">). May no one ask them ⟨such taxes⟩ for that is the shrine of me, the king, who am the one to cherish the kingship, who firmly practice the divine ordinance.</w:t>
      </w:r>
    </w:p>
    <w:p>
      <w:pPr>
        <w:pStyle w:val="Heading1"/>
      </w:pPr>
      <w:r>
        <w:t xml:space="preserve">Commentary</w:t>
      </w:r>
    </w:p>
    <w:p>
      <w:pPr>
        <w:pStyle w:val="FirstParagraph"/>
      </w:pPr>
      <w:r>
        <w:rPr>
          <w:rStyle w:val="ColorGray"/>
        </w:rPr>
        <w:t xml:space="preserve">⟨1r3⟩</w:t>
      </w:r>
      <w:r>
        <w:t xml:space="preserve"> </w:t>
      </w:r>
      <w:r>
        <w:rPr>
          <w:i/>
          <w:iCs/>
        </w:rPr>
        <w:t xml:space="preserve">paluluraḥhan ku paL̥L̥maḥhan·</w:t>
      </w:r>
      <w:r>
        <w:t xml:space="preserve"> </w:t>
      </w:r>
      <w:r>
        <w:t xml:space="preserve">◇ It is interesting to note that the respective base words here,</w:t>
      </w:r>
      <w:r>
        <w:t xml:space="preserve"> </w:t>
      </w:r>
      <w:r>
        <w:rPr>
          <w:i/>
          <w:iCs/>
        </w:rPr>
        <w:t xml:space="preserve">lurah</w:t>
      </w:r>
      <w:r>
        <w:t xml:space="preserve"> </w:t>
      </w:r>
      <w:r>
        <w:t xml:space="preserve">and</w:t>
      </w:r>
      <w:r>
        <w:t xml:space="preserve"> </w:t>
      </w:r>
      <w:r>
        <w:rPr>
          <w:i/>
          <w:iCs/>
        </w:rPr>
        <w:t xml:space="preserve">ləmah</w:t>
      </w:r>
      <w:r>
        <w:t xml:space="preserve">, are also used elsewhere in this group of inscriptions (</w:t>
      </w:r>
      <w:hyperlink r:id="rId10">
        <w:r>
          <w:rPr>
            <w:rStyle w:val="Hyperlink"/>
          </w:rPr>
          <w:t xml:space="preserve">Keba3.1v2</w:t>
        </w:r>
      </w:hyperlink>
      <w:r>
        <w:t xml:space="preserve"> </w:t>
      </w:r>
      <w:r>
        <w:rPr>
          <w:i/>
          <w:iCs/>
        </w:rPr>
        <w:t xml:space="preserve">lurah kavikvan</w:t>
      </w:r>
      <w:r>
        <w:t xml:space="preserve">,</w:t>
      </w:r>
      <w:r>
        <w:t xml:space="preserve"> </w:t>
      </w:r>
      <w:hyperlink r:id="rId11">
        <w:r>
          <w:rPr>
            <w:rStyle w:val="Hyperlink"/>
          </w:rPr>
          <w:t xml:space="preserve">Keba4.2</w:t>
        </w:r>
      </w:hyperlink>
      <w:r>
        <w:t xml:space="preserve"> </w:t>
      </w:r>
      <w:r>
        <w:rPr>
          <w:i/>
          <w:iCs/>
        </w:rPr>
        <w:t xml:space="preserve">ləmah devasasana</w:t>
      </w:r>
      <w:r>
        <w:t xml:space="preserve">). In OJ, the circumfix</w:t>
      </w:r>
      <w:r>
        <w:t xml:space="preserve"> </w:t>
      </w:r>
      <w:r>
        <w:rPr>
          <w:i/>
          <w:iCs/>
        </w:rPr>
        <w:t xml:space="preserve">pa- -an</w:t>
      </w:r>
      <w:r>
        <w:t xml:space="preserve"> </w:t>
      </w:r>
      <w:r>
        <w:t xml:space="preserve">is used to form several terms connected with tax, although never with reduplication, e.g.</w:t>
      </w:r>
      <w:r>
        <w:t xml:space="preserve"> </w:t>
      </w:r>
      <w:r>
        <w:rPr>
          <w:i/>
          <w:iCs/>
        </w:rPr>
        <w:t xml:space="preserve">paramasan</w:t>
      </w:r>
      <w:r>
        <w:t xml:space="preserve">,</w:t>
      </w:r>
      <w:r>
        <w:t xml:space="preserve"> </w:t>
      </w:r>
      <w:r>
        <w:rPr>
          <w:i/>
          <w:iCs/>
        </w:rPr>
        <w:t xml:space="preserve">parəgəpan</w:t>
      </w:r>
      <w:r>
        <w:t xml:space="preserve">,</w:t>
      </w:r>
      <w:r>
        <w:t xml:space="preserve"> </w:t>
      </w:r>
      <w:r>
        <w:rPr>
          <w:i/>
          <w:iCs/>
        </w:rPr>
        <w:t xml:space="preserve">paməḍihan</w:t>
      </w:r>
      <w:r>
        <w:t xml:space="preserve">.</w:t>
      </w:r>
    </w:p>
    <w:p>
      <w:pPr>
        <w:pStyle w:val="BodyText"/>
      </w:pPr>
      <w:r>
        <w:rPr>
          <w:i/>
          <w:iCs/>
        </w:rPr>
        <w:t xml:space="preserve">paṅgəR̥s· rəma</w:t>
      </w:r>
      <w:r>
        <w:t xml:space="preserve"> </w:t>
      </w:r>
      <w:r>
        <w:t xml:space="preserve">◇ We hypothesize that the base word</w:t>
      </w:r>
      <w:r>
        <w:t xml:space="preserve"> </w:t>
      </w:r>
      <w:r>
        <w:rPr>
          <w:i/>
          <w:iCs/>
        </w:rPr>
        <w:t xml:space="preserve">gərəs</w:t>
      </w:r>
      <w:r>
        <w:t xml:space="preserve"> </w:t>
      </w:r>
      <w:r>
        <w:t xml:space="preserve">is equivalent to</w:t>
      </w:r>
      <w:r>
        <w:t xml:space="preserve"> </w:t>
      </w:r>
      <w:r>
        <w:rPr>
          <w:i/>
          <w:iCs/>
        </w:rPr>
        <w:t xml:space="preserve">garis</w:t>
      </w:r>
      <w:r>
        <w:t xml:space="preserve"> </w:t>
      </w:r>
      <w:r>
        <w:t xml:space="preserve">and</w:t>
      </w:r>
      <w:r>
        <w:t xml:space="preserve"> </w:t>
      </w:r>
      <w:r>
        <w:rPr>
          <w:i/>
          <w:iCs/>
        </w:rPr>
        <w:t xml:space="preserve">gores</w:t>
      </w:r>
      <w:r>
        <w:t xml:space="preserve"> </w:t>
      </w:r>
      <w:r>
        <w:t xml:space="preserve">in Malay and</w:t>
      </w:r>
      <w:r>
        <w:t xml:space="preserve"> </w:t>
      </w:r>
      <w:r>
        <w:rPr>
          <w:i/>
          <w:iCs/>
        </w:rPr>
        <w:t xml:space="preserve">geret</w:t>
      </w:r>
      <w:r>
        <w:t xml:space="preserve"> </w:t>
      </w:r>
      <w:r>
        <w:t xml:space="preserve">in MdS. Hardjadibrata (</w:t>
      </w:r>
      <w:hyperlink r:id="rId12">
        <w:r>
          <w:rPr>
            <w:rStyle w:val="Hyperlink"/>
          </w:rPr>
          <w:t xml:space="preserve">2003</w:t>
        </w:r>
      </w:hyperlink>
      <w:r>
        <w:t xml:space="preserve">2) defines the latter as “notch, indentation, stripe, scratch; stroke, flourish (of a character);</w:t>
      </w:r>
      <w:r>
        <w:t xml:space="preserve"> </w:t>
      </w:r>
      <w:r>
        <w:rPr>
          <w:i/>
          <w:iCs/>
        </w:rPr>
        <w:t xml:space="preserve">ngageret</w:t>
      </w:r>
      <w:r>
        <w:t xml:space="preserve"> </w:t>
      </w:r>
      <w:r>
        <w:t xml:space="preserve">make a notch on/over st, notch st.” It is important to notice that Hardjadibrata also records the meaning “delimit st. with a stripe, indicate/mark the limit of st.” The term</w:t>
      </w:r>
      <w:r>
        <w:t xml:space="preserve"> </w:t>
      </w:r>
      <w:r>
        <w:rPr>
          <w:i/>
          <w:iCs/>
        </w:rPr>
        <w:t xml:space="preserve">rəma</w:t>
      </w:r>
      <w:r>
        <w:t xml:space="preserve"> </w:t>
      </w:r>
      <w:r>
        <w:t xml:space="preserve">in MdS means ‘left (and overgrown again with underbrush and weeds) block of arable land (esp. a dry rice-field that hasn’t been planted for more than two years); fallow rice-field land’. We presume that</w:t>
      </w:r>
      <w:r>
        <w:t xml:space="preserve"> </w:t>
      </w:r>
      <w:r>
        <w:rPr>
          <w:i/>
          <w:iCs/>
        </w:rPr>
        <w:t xml:space="preserve">paṅgəR̥s· R̥ma</w:t>
      </w:r>
      <w:r>
        <w:t xml:space="preserve"> </w:t>
      </w:r>
      <w:r>
        <w:t xml:space="preserve">is a tax levied on fallow dry rice-fields, possibly calculated with references to the area of</w:t>
      </w:r>
      <w:r>
        <w:t xml:space="preserve"> </w:t>
      </w:r>
      <w:r>
        <w:rPr>
          <w:i/>
          <w:iCs/>
        </w:rPr>
        <w:t xml:space="preserve">rəma</w:t>
      </w:r>
      <w:r>
        <w:t xml:space="preserve">. Cf. the OJ term</w:t>
      </w:r>
      <w:r>
        <w:t xml:space="preserve"> </w:t>
      </w:r>
      <w:r>
        <w:rPr>
          <w:i/>
          <w:iCs/>
        </w:rPr>
        <w:t xml:space="preserve">carik huma</w:t>
      </w:r>
      <w:r>
        <w:t xml:space="preserve"> </w:t>
      </w:r>
      <w:r>
        <w:t xml:space="preserve">which literally has a similar meaning, attested in the Adulengen plates (945 Śaka) and Padlegan I stela (1038 Śaka). See OJED, s.v. Pleyte relates the term</w:t>
      </w:r>
      <w:r>
        <w:t xml:space="preserve"> </w:t>
      </w:r>
      <w:r>
        <w:rPr>
          <w:i/>
          <w:iCs/>
        </w:rPr>
        <w:t xml:space="preserve">gərəs</w:t>
      </w:r>
      <w:r>
        <w:t xml:space="preserve"> </w:t>
      </w:r>
      <w:r>
        <w:t xml:space="preserve">with</w:t>
      </w:r>
      <w:r>
        <w:t xml:space="preserve"> </w:t>
      </w:r>
      <w:r>
        <w:rPr>
          <w:i/>
          <w:iCs/>
        </w:rPr>
        <w:t xml:space="preserve">roris</w:t>
      </w:r>
      <w:r>
        <w:t xml:space="preserve"> </w:t>
      </w:r>
      <w:r>
        <w:t xml:space="preserve">“to inspect, look over”; in this case, the</w:t>
      </w:r>
      <w:r>
        <w:t xml:space="preserve"> </w:t>
      </w:r>
      <w:r>
        <w:rPr>
          <w:i/>
          <w:iCs/>
        </w:rPr>
        <w:t xml:space="preserve">paṅgəR̥s· R̥ma</w:t>
      </w:r>
      <w:r>
        <w:t xml:space="preserve"> </w:t>
      </w:r>
      <w:r>
        <w:t xml:space="preserve">would be an inspector of abandoned rice-fields. Cf also</w:t>
      </w:r>
      <w:r>
        <w:t xml:space="preserve"> </w:t>
      </w:r>
      <w:r>
        <w:rPr>
          <w:i/>
          <w:iCs/>
        </w:rPr>
        <w:t xml:space="preserve">Siksa Kandaṅ Karəsian</w:t>
      </w:r>
      <w:r>
        <w:t xml:space="preserve"> </w:t>
      </w:r>
      <w:r>
        <w:t xml:space="preserve">9 quoted in our comment to</w:t>
      </w:r>
      <w:r>
        <w:t xml:space="preserve"> </w:t>
      </w:r>
      <w:r>
        <w:rPr>
          <w:i/>
          <w:iCs/>
        </w:rPr>
        <w:t xml:space="preserve">dasa calagara</w:t>
      </w:r>
      <w:r>
        <w:t xml:space="preserve"> </w:t>
      </w:r>
      <w:r>
        <w:t xml:space="preserve">in</w:t>
      </w:r>
      <w:r>
        <w:t xml:space="preserve"> </w:t>
      </w:r>
      <w:hyperlink r:id="rId9">
        <w:r>
          <w:rPr>
            <w:rStyle w:val="Hyperlink"/>
          </w:rPr>
          <w:t xml:space="preserve">Keba1.1v3</w:t>
        </w:r>
      </w:hyperlink>
      <w:r>
        <w:t xml:space="preserve">.</w:t>
      </w:r>
    </w:p>
    <w:p>
      <w:pPr>
        <w:pStyle w:val="BodyText"/>
      </w:pPr>
      <w:r>
        <w:rPr>
          <w:rStyle w:val="ColorGray"/>
        </w:rPr>
        <w:t xml:space="preserve">⟨7⟩</w:t>
      </w:r>
      <w:r>
        <w:t xml:space="preserve"> </w:t>
      </w:r>
      <w:r>
        <w:rPr>
          <w:i/>
          <w:iCs/>
        </w:rPr>
        <w:t xml:space="preserve">ṅavakan</w:t>
      </w:r>
      <w:r>
        <w:t xml:space="preserve"> </w:t>
      </w:r>
      <w:r>
        <w:t xml:space="preserve">◇ Cf. Svavar Cinta 23r</w:t>
      </w:r>
      <w:r>
        <w:t xml:space="preserve"> </w:t>
      </w:r>
      <w:r>
        <w:rPr>
          <w:i/>
          <w:iCs/>
        </w:rPr>
        <w:t xml:space="preserve">emet imət rajə‹n› ləkən, pakagəiṅ na ditapa, ṅavakan saṅ hyaṅ darma</w:t>
      </w:r>
      <w:r>
        <w:t xml:space="preserve"> </w:t>
      </w:r>
      <w:r>
        <w:t xml:space="preserve">“be attentive, meticulous, keen, persevering, be conscient in practicing asceticism, in practising the holy dharma”.</w:t>
      </w:r>
    </w:p>
    <w:p>
      <w:pPr>
        <w:pStyle w:val="BodyText"/>
      </w:pPr>
      <w:r>
        <w:rPr>
          <w:rStyle w:val="ColorGray"/>
        </w:rPr>
        <w:t xml:space="preserve">⟨7⟩</w:t>
      </w:r>
      <w:r>
        <w:t xml:space="preserve"> </w:t>
      </w:r>
      <w:r>
        <w:rPr>
          <w:i/>
          <w:iCs/>
        </w:rPr>
        <w:t xml:space="preserve">karatuyan</w:t>
      </w:r>
      <w:r>
        <w:t xml:space="preserve"> </w:t>
      </w:r>
      <w:r>
        <w:t xml:space="preserve">◇ We assume that this is a variant spelling of</w:t>
      </w:r>
      <w:r>
        <w:t xml:space="preserve"> </w:t>
      </w:r>
      <w:r>
        <w:rPr>
          <w:i/>
          <w:iCs/>
        </w:rPr>
        <w:t xml:space="preserve">karatuan</w:t>
      </w:r>
      <w:r>
        <w:t xml:space="preserve">. Cf the nearly identical structure seen in</w:t>
      </w:r>
      <w:r>
        <w:t xml:space="preserve"> </w:t>
      </w:r>
      <w:hyperlink r:id="rId9">
        <w:r>
          <w:rPr>
            <w:rStyle w:val="Hyperlink"/>
          </w:rPr>
          <w:t xml:space="preserve">Keba1.2v2</w:t>
        </w:r>
      </w:hyperlink>
      <w:r>
        <w:t xml:space="preserve">:</w:t>
      </w:r>
      <w:r>
        <w:t xml:space="preserve"> </w:t>
      </w:r>
      <w:r>
        <w:rPr>
          <w:i/>
          <w:iCs/>
        </w:rPr>
        <w:t xml:space="preserve">mibuhayakən· na kacaritaAn·</w:t>
      </w:r>
      <w:r>
        <w:t xml:space="preserve"> </w:t>
      </w:r>
      <w:r>
        <w:t xml:space="preserve">“to cherish the code of conduct” applied to the hermits, while in the present context, it is the king who cherishes the kingship.</w:t>
      </w:r>
    </w:p>
    <w:p>
      <w:pPr>
        <w:pStyle w:val="Heading1"/>
      </w:pPr>
      <w:r>
        <w:t xml:space="preserve">Bibliography</w:t>
      </w:r>
    </w:p>
    <w:p>
      <w:pPr>
        <w:pStyle w:val="FirstParagraph"/>
      </w:pPr>
      <w:r>
        <w:t xml:space="preserve">The inscription was read first by Holle (1867, p. 564), and then by Pleyte (Pleyte 1911, p. 197). Boechari (1985–1986, № E.42-E.45, p. 106) provided a new reading although without any translation. The most recent reading is the one by Hasan Djafar (1991, pp. 12–15), now with Indonesian translation. The new reading offered here was made by Aditia Gunawan based on autopsy on May 23rd, 2013. No reliable visual documentation is available.</w:t>
      </w:r>
    </w:p>
    <w:p>
      <w:pPr>
        <w:pStyle w:val="Heading2"/>
      </w:pPr>
      <w:r>
        <w:t xml:space="preserve">Primary</w:t>
      </w:r>
    </w:p>
    <w:p>
      <w:pPr>
        <w:pStyle w:val="FirstParagraph"/>
      </w:pPr>
      <w:r>
        <w:rPr>
          <w:b/>
          <w:bCs/>
        </w:rPr>
        <w:t xml:space="preserve">[H]</w:t>
      </w:r>
      <w:r>
        <w:t xml:space="preserve"> </w:t>
      </w:r>
      <w:r>
        <w:t xml:space="preserve">Holle, Karel Frederik. 1867. “Voorloopig bericht omtrent vijf koperen plaatjes, door Raden Saleh gevonden in een offerhuisje bij de kampong Kĕbantĕnan, onder Bĕkasih, p. m. 15 paal van Batavia.” TBG 16, pp. 559–567. Page 564.</w:t>
      </w:r>
    </w:p>
    <w:p>
      <w:pPr>
        <w:pStyle w:val="BodyText"/>
      </w:pPr>
      <w:r>
        <w:rPr>
          <w:b/>
          <w:bCs/>
        </w:rPr>
        <w:t xml:space="preserve">[P]</w:t>
      </w:r>
      <w:r>
        <w:t xml:space="preserve"> </w:t>
      </w:r>
      <w:r>
        <w:t xml:space="preserve">Pleyte, Cornelis Marinus. 1911. “Het jaartal op den Batoe-toelis nabij Buitenzorg: eene bijdrage tot de kennis van het oude Soenda.” TBG 53, pp. 155–220. Page 197.</w:t>
      </w:r>
    </w:p>
    <w:p>
      <w:pPr>
        <w:pStyle w:val="BodyText"/>
      </w:pPr>
      <w:r>
        <w:rPr>
          <w:b/>
          <w:bCs/>
        </w:rPr>
        <w:t xml:space="preserve">[B]</w:t>
      </w:r>
      <w:r>
        <w:t xml:space="preserve"> </w:t>
      </w:r>
      <w:r>
        <w:t xml:space="preserve">Boechari. 1985–1986.</w:t>
      </w:r>
      <w:r>
        <w:t xml:space="preserve"> </w:t>
      </w:r>
      <w:r>
        <w:rPr>
          <w:i/>
          <w:iCs/>
        </w:rPr>
        <w:t xml:space="preserve">Prasasti koleksi Museum Nasional, Jilid I</w:t>
      </w:r>
      <w:r>
        <w:t xml:space="preserve">. Jakarta: Proyek Pengembangan Museum Nasional, Departemen Pendidikan dan Kebudayaan.</w:t>
      </w:r>
      <w:r>
        <w:t xml:space="preserve"> </w:t>
      </w:r>
      <w:hyperlink r:id="rId13">
        <w:r>
          <w:rPr>
            <w:rStyle w:val="Hyperlink"/>
          </w:rPr>
          <w:t xml:space="preserve">[URL]</w:t>
        </w:r>
      </w:hyperlink>
      <w:r>
        <w:t xml:space="preserve">. Items E.42-E.45, page 106.</w:t>
      </w:r>
    </w:p>
    <w:p>
      <w:pPr>
        <w:pStyle w:val="BodyText"/>
      </w:pPr>
      <w:r>
        <w:rPr>
          <w:b/>
          <w:bCs/>
        </w:rPr>
        <w:t xml:space="preserve">[HD]</w:t>
      </w:r>
      <w:r>
        <w:t xml:space="preserve"> </w:t>
      </w:r>
      <w:r>
        <w:t xml:space="preserve">Hasan Djafar. 1991. “Prasasti-prasasti dari masa kerajaan-kerajaan Sunda.” In:</w:t>
      </w:r>
      <w:r>
        <w:t xml:space="preserve"> </w:t>
      </w:r>
      <w:r>
        <w:rPr>
          <w:i/>
          <w:iCs/>
        </w:rPr>
        <w:t xml:space="preserve">Seminar nasional sastra dan sejarah Pakuan Pajajaran: Proceedings</w:t>
      </w:r>
      <w:r>
        <w:t xml:space="preserve">. Bogor: Universitas Pakuan Bogor dan Yayasan Pembangunan Jawa Barat, pp. 1–35. Pages 12–15.</w:t>
      </w:r>
    </w:p>
    <w:p>
      <w:pPr>
        <w:pStyle w:val="Heading2"/>
      </w:pPr>
      <w:r>
        <w:t xml:space="preserve">Secondary</w:t>
      </w:r>
    </w:p>
    <w:p>
      <w:pPr>
        <w:pStyle w:val="FirstParagraph"/>
      </w:pPr>
      <w:r>
        <w:t xml:space="preserve">NBG 1867.</w:t>
      </w:r>
      <w:r>
        <w:t xml:space="preserve"> </w:t>
      </w:r>
      <w:r>
        <w:rPr>
          <w:i/>
          <w:iCs/>
        </w:rPr>
        <w:t xml:space="preserve">Notulen van de Algemeene en Bestuurs-vergaderingen van het Bataviaasch Genootschap van Kunsten en Wetenschappen: Deel V — 1867</w:t>
      </w:r>
      <w:r>
        <w:t xml:space="preserve">. Batavia: Lange &amp; Co., 1868. Volume 5, page 38.</w:t>
      </w:r>
    </w:p>
    <w:p>
      <w:pPr>
        <w:pStyle w:val="BodyText"/>
      </w:pPr>
      <w:r>
        <w:t xml:space="preserve">NBG 1870.</w:t>
      </w:r>
      <w:r>
        <w:t xml:space="preserve"> </w:t>
      </w:r>
      <w:r>
        <w:rPr>
          <w:i/>
          <w:iCs/>
        </w:rPr>
        <w:t xml:space="preserve">Notulen van de Algemeene en Bestuurs-vergaderingen van het Bataviaasch Genootschap van Kunsten en Wetenschappen: Deel VIII — 1870</w:t>
      </w:r>
      <w:r>
        <w:t xml:space="preserve">. Batavia: Bruining &amp; Wijt, 1871. Volume 8, pages 74, 80–81.</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http://repositori.kemdikbud.go.id/14346/1/Prasasti%20koleksi%20museum%20nasional%20jilid%201.pdf" TargetMode="External" /><Relationship Type="http://schemas.openxmlformats.org/officeDocument/2006/relationships/hyperlink" Id="rId12" Target="https://dharmalekha.info/bibliography/entry/Hardjadibrata2003_01" TargetMode="External" /><Relationship Type="http://schemas.openxmlformats.org/officeDocument/2006/relationships/hyperlink" Id="rId9" Target="https://dharmalekha.info/texts/INSIDENKKebantenan_1" TargetMode="External" /><Relationship Type="http://schemas.openxmlformats.org/officeDocument/2006/relationships/hyperlink" Id="rId10" Target="https://dharmalekha.info/texts/INSIDENKKebantenan_3" TargetMode="External" /><Relationship Type="http://schemas.openxmlformats.org/officeDocument/2006/relationships/hyperlink" Id="rId11" Target="https://dharmalekha.info/texts/INSIDENKKebantenan_4" TargetMode="External" /></Relationships>
</file>

<file path=word/_rels/footnotes.xml.rels><?xml version="1.0" encoding="UTF-8"?><Relationships xmlns="http://schemas.openxmlformats.org/package/2006/relationships"><Relationship Type="http://schemas.openxmlformats.org/officeDocument/2006/relationships/hyperlink" Id="rId13" Target="http://repositori.kemdikbud.go.id/14346/1/Prasasti%20koleksi%20museum%20nasional%20jilid%201.pdf" TargetMode="External" /><Relationship Type="http://schemas.openxmlformats.org/officeDocument/2006/relationships/hyperlink" Id="rId12" Target="https://dharmalekha.info/bibliography/entry/Hardjadibrata2003_01" TargetMode="External" /><Relationship Type="http://schemas.openxmlformats.org/officeDocument/2006/relationships/hyperlink" Id="rId9" Target="https://dharmalekha.info/texts/INSIDENKKebantenan_1" TargetMode="External" /><Relationship Type="http://schemas.openxmlformats.org/officeDocument/2006/relationships/hyperlink" Id="rId10" Target="https://dharmalekha.info/texts/INSIDENKKebantenan_3" TargetMode="External" /><Relationship Type="http://schemas.openxmlformats.org/officeDocument/2006/relationships/hyperlink" Id="rId11" Target="https://dharmalekha.info/texts/INSIDENKKebantenan_4"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Kebantenan 4</dc:title>
  <dc:creator>Aditia Gunawan and Arlo Griffiths</dc:creator>
  <cp:keywords/>
  <dcterms:created xsi:type="dcterms:W3CDTF">2026-10-26T15:08:26Z</dcterms:created>
  <dcterms:modified xsi:type="dcterms:W3CDTF">2026-10-26T15:08:26Z</dcterms:modified>
</cp:coreProperties>
</file>

<file path=docProps/custom.xml><?xml version="1.0" encoding="utf-8"?>
<Properties xmlns="http://schemas.openxmlformats.org/officeDocument/2006/custom-properties" xmlns:vt="http://schemas.openxmlformats.org/officeDocument/2006/docPropsVTypes"/>
</file>