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Kawali 2</w:t>
      </w:r>
    </w:p>
    <w:p>
      <w:pPr>
        <w:pStyle w:val="Author"/>
      </w:pPr>
      <w:r>
        <w:t xml:space="preserve">Aditia Gunawan and Arlo Griffiths</w:t>
      </w:r>
    </w:p>
    <w:p>
      <w:pPr>
        <w:pStyle w:val="FirstParagraph"/>
      </w:pPr>
      <w:r>
        <w:t xml:space="preserve">Authors of digital edition: Aditia Gunawan, Arlo Griffiths</w:t>
      </w:r>
    </w:p>
    <w:p>
      <w:pPr>
        <w:pStyle w:val="BodyText"/>
      </w:pPr>
      <w:r>
        <w:t xml:space="preserve">Identifier: DHARMA_INSIDENKKawali_2</w:t>
      </w:r>
    </w:p>
    <w:p>
      <w:pPr>
        <w:pStyle w:val="BodyText"/>
      </w:pPr>
      <w:r>
        <w:t xml:space="preserve">Repository: Nusantara Epigraphy (tfc-nusantara-epigraphy)</w:t>
      </w:r>
    </w:p>
    <w:p>
      <w:pPr>
        <w:pStyle w:val="BodyText"/>
      </w:pPr>
      <w:r>
        <w:t xml:space="preserve">File path: xml/DHARMA_INSIDENKKawali_2.xml</w:t>
      </w:r>
    </w:p>
    <w:p>
      <w:pPr>
        <w:pStyle w:val="BodyText"/>
      </w:pPr>
      <w:r>
        <w:t xml:space="preserve">Language: Old Sundanese [Script (unspecified)]</w:t>
      </w:r>
    </w:p>
    <w:p>
      <w:pPr>
        <w:pStyle w:val="BodyText"/>
      </w:pPr>
      <w:r>
        <w:t xml:space="preserve">Commit: 2026-09-25 06:15 (19d0d3f), last modified 2026-09-09 14:27 (72454d8)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Aya ma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nu ṅəsi I</w:t>
      </w:r>
      <w:r>
        <w:rPr>
          <w:rStyle w:val="ColorGray"/>
        </w:rPr>
        <w:t xml:space="preserve">⟨3⟩</w:t>
      </w:r>
      <w:r>
        <w:t xml:space="preserve">ña kavali I</w:t>
      </w:r>
      <w:r>
        <w:rPr>
          <w:rStyle w:val="ColorGray"/>
        </w:rPr>
        <w:t xml:space="preserve">⟨4⟩</w:t>
      </w:r>
      <w:r>
        <w:t xml:space="preserve">ni pake na kə</w:t>
      </w:r>
      <w:r>
        <w:rPr>
          <w:rStyle w:val="ColorGray"/>
        </w:rPr>
        <w:t xml:space="preserve">⟨5⟩</w:t>
      </w:r>
      <w:r>
        <w:t xml:space="preserve">R̥ta bənəṙ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pakən· na⟨ñ⟩jər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na juritan·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⟨2⟩</w:t>
      </w:r>
      <w:r>
        <w:t xml:space="preserve"> </w:t>
      </w:r>
      <w:r>
        <w:t xml:space="preserve">nu ṅəsi ⬦</w:t>
      </w:r>
      <w:r>
        <w:t xml:space="preserve"> </w:t>
      </w:r>
      <w:r>
        <w:rPr>
          <w:rStyle w:val="ColorGreen"/>
          <w:i/>
          <w:iCs/>
        </w:rPr>
        <w:t xml:space="preserve">nu jəḥ</w:t>
      </w:r>
      <w:r>
        <w:t xml:space="preserve"> </w:t>
      </w:r>
      <w:r>
        <w:t xml:space="preserve">F;</w:t>
      </w:r>
      <w:r>
        <w:t xml:space="preserve"> </w:t>
      </w:r>
      <w:r>
        <w:rPr>
          <w:rStyle w:val="ColorGreen"/>
          <w:i/>
          <w:iCs/>
        </w:rPr>
        <w:t xml:space="preserve">nu ṅə:si</w:t>
      </w:r>
      <w:r>
        <w:t xml:space="preserve"> </w:t>
      </w:r>
      <w:r>
        <w:t xml:space="preserve">H N HD TSN RK. —</w:t>
      </w:r>
      <w:r>
        <w:t xml:space="preserve"> </w:t>
      </w:r>
      <w:r>
        <w:rPr>
          <w:rStyle w:val="ColorGray"/>
        </w:rPr>
        <w:t xml:space="preserve">⟨2⟩</w:t>
      </w:r>
      <w:r>
        <w:t xml:space="preserve"> </w:t>
      </w:r>
      <w:r>
        <w:t xml:space="preserve">I</w:t>
      </w:r>
      <w:r>
        <w:rPr>
          <w:rStyle w:val="ColorGray"/>
        </w:rPr>
        <w:t xml:space="preserve">⟨3⟩</w:t>
      </w:r>
      <w:r>
        <w:t xml:space="preserve">ña N HD TSN RK ⬦</w:t>
      </w:r>
      <w:r>
        <w:t xml:space="preserve"> </w:t>
      </w:r>
      <w:r>
        <w:rPr>
          <w:rStyle w:val="ColorGreen"/>
          <w:i/>
          <w:iCs/>
        </w:rPr>
        <w:t xml:space="preserve">bhagya</w:t>
      </w:r>
      <w:r>
        <w:t xml:space="preserve"> </w:t>
      </w:r>
      <w:r>
        <w:t xml:space="preserve">F H.</w:t>
      </w:r>
    </w:p>
    <w:p>
      <w:pPr>
        <w:pStyle w:val="BodyText"/>
      </w:pPr>
      <w:r>
        <w:rPr>
          <w:rStyle w:val="ColorGray"/>
        </w:rPr>
        <w:t xml:space="preserve">⟨3⟩</w:t>
      </w:r>
      <w:r>
        <w:t xml:space="preserve"> </w:t>
      </w:r>
      <w:r>
        <w:t xml:space="preserve">I</w:t>
      </w:r>
      <w:r>
        <w:rPr>
          <w:rStyle w:val="ColorGray"/>
        </w:rPr>
        <w:t xml:space="preserve">⟨4⟩</w:t>
      </w:r>
      <w:r>
        <w:t xml:space="preserve">ni N HD TSN ⬦</w:t>
      </w:r>
      <w:r>
        <w:t xml:space="preserve"> </w:t>
      </w:r>
      <w:r>
        <w:rPr>
          <w:rStyle w:val="ColorGreen"/>
          <w:i/>
          <w:iCs/>
        </w:rPr>
        <w:t xml:space="preserve">bari</w:t>
      </w:r>
      <w:r>
        <w:t xml:space="preserve"> </w:t>
      </w:r>
      <w:r>
        <w:t xml:space="preserve">F H;</w:t>
      </w:r>
      <w:r>
        <w:t xml:space="preserve"> </w:t>
      </w:r>
      <w:r>
        <w:rPr>
          <w:rStyle w:val="ColorGreen"/>
          <w:i/>
          <w:iCs/>
        </w:rPr>
        <w:t xml:space="preserve">bani</w:t>
      </w:r>
      <w:r>
        <w:t xml:space="preserve"> </w:t>
      </w:r>
      <w:r>
        <w:t xml:space="preserve">RK.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t xml:space="preserve">If ⟨you⟩ occupies this (place called) Kawali, lbe observant of the proper behavior, so that ⟨you⟩ remains upright in battle.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rPr>
          <w:rStyle w:val="ColorGray"/>
        </w:rPr>
        <w:t xml:space="preserve">⟨6⟩</w:t>
      </w:r>
      <w:r>
        <w:t xml:space="preserve"> </w:t>
      </w:r>
      <w:r>
        <w:rPr>
          <w:i/>
          <w:iCs/>
        </w:rPr>
        <w:t xml:space="preserve">nañjər</w:t>
      </w:r>
      <w:r>
        <w:t xml:space="preserve"> </w:t>
      </w:r>
      <w:r>
        <w:t xml:space="preserve">◇ Cf.</w:t>
      </w:r>
      <w:r>
        <w:t xml:space="preserve"> </w:t>
      </w:r>
      <w:r>
        <w:rPr>
          <w:i/>
          <w:iCs/>
        </w:rPr>
        <w:t xml:space="preserve">Pituturniṅ Janma</w:t>
      </w:r>
      <w:r>
        <w:t xml:space="preserve"> </w:t>
      </w:r>
      <w:r>
        <w:t xml:space="preserve">126:</w:t>
      </w:r>
      <w:r>
        <w:t xml:space="preserve"> </w:t>
      </w:r>
      <w:r>
        <w:rPr>
          <w:i/>
          <w:iCs/>
        </w:rPr>
        <w:t xml:space="preserve">dəgdəg tañjər jaya praṅ</w:t>
      </w:r>
      <w:r>
        <w:t xml:space="preserve"> </w:t>
      </w:r>
      <w:r>
        <w:t xml:space="preserve">“indeed upright, victorious in battle”.</w:t>
      </w:r>
    </w:p>
    <w:p>
      <w:pPr>
        <w:pStyle w:val="BodyText"/>
      </w:pPr>
      <w:r>
        <w:rPr>
          <w:rStyle w:val="ColorGray"/>
        </w:rPr>
        <w:t xml:space="preserve">⟨7⟩</w:t>
      </w:r>
      <w:r>
        <w:t xml:space="preserve"> </w:t>
      </w:r>
      <w:r>
        <w:rPr>
          <w:i/>
          <w:iCs/>
        </w:rPr>
        <w:t xml:space="preserve">na</w:t>
      </w:r>
      <w:r>
        <w:t xml:space="preserve"> </w:t>
      </w:r>
      <w:r>
        <w:t xml:space="preserve">◇ Cf.</w:t>
      </w:r>
      <w:r>
        <w:t xml:space="preserve"> </w:t>
      </w:r>
      <w:r>
        <w:rPr>
          <w:i/>
          <w:iCs/>
        </w:rPr>
        <w:t xml:space="preserve">ḍi na</w:t>
      </w:r>
      <w:r>
        <w:t xml:space="preserve"> </w:t>
      </w:r>
      <w:r>
        <w:t xml:space="preserve">in</w:t>
      </w:r>
      <w:r>
        <w:t xml:space="preserve"> </w:t>
      </w:r>
      <w:hyperlink r:id="rId9">
        <w:r>
          <w:rPr>
            <w:rStyle w:val="Hyperlink"/>
          </w:rPr>
          <w:t xml:space="preserve">Kawali 1a</w:t>
        </w:r>
      </w:hyperlink>
      <w:r>
        <w:t xml:space="preserve"> </w:t>
      </w:r>
      <w:r>
        <w:t xml:space="preserve">line 10 and our commentary to that inscription.</w:t>
      </w:r>
    </w:p>
    <w:p>
      <w:pPr>
        <w:pStyle w:val="Heading1"/>
      </w:pPr>
      <w:r>
        <w:t xml:space="preserve">Bibliography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[F]</w:t>
      </w:r>
      <w:r>
        <w:t xml:space="preserve"> </w:t>
      </w:r>
      <w:r>
        <w:t xml:space="preserve">Friederich, Rudolf Hermann Theodor. 1855. “Ontcijfering der inscriptiën te Kawali, residentie Cheribon.” TBG 3, pp. 149–182. Pages 178–180.</w:t>
      </w:r>
    </w:p>
    <w:p>
      <w:pPr>
        <w:pStyle w:val="BodyText"/>
      </w:pPr>
      <w:r>
        <w:rPr>
          <w:b/>
          <w:bCs/>
        </w:rPr>
        <w:t xml:space="preserve">[H]</w:t>
      </w:r>
      <w:r>
        <w:t xml:space="preserve"> </w:t>
      </w:r>
      <w:r>
        <w:t xml:space="preserve">Holle, Karel Frederik. 1867. “Vlugtig berigt omtrent eenige lontar-handschriften, afkomstig uit de Soenda-landen, door Raden Saleh aan het Bataviaasch Genootschap van K. en W. ten geschenke gegeven, met toepassing op de inscriptiën van Kwali.” TBG 16, pp. 450–470. Pages 469–470.</w:t>
      </w:r>
    </w:p>
    <w:p>
      <w:pPr>
        <w:pStyle w:val="BodyText"/>
      </w:pPr>
      <w:r>
        <w:rPr>
          <w:b/>
          <w:bCs/>
        </w:rPr>
        <w:t xml:space="preserve">[N]</w:t>
      </w:r>
      <w:r>
        <w:t xml:space="preserve"> </w:t>
      </w:r>
      <w:r>
        <w:t xml:space="preserve">Noorduyn, Jacobus. 1976. “Preliminary report on archaeological research conducted in West Java and East Java in June, July and August 1976.” Leiden.</w:t>
      </w:r>
    </w:p>
    <w:p>
      <w:pPr>
        <w:pStyle w:val="BodyText"/>
      </w:pPr>
      <w:r>
        <w:rPr>
          <w:b/>
          <w:bCs/>
        </w:rPr>
        <w:t xml:space="preserve">[HD]</w:t>
      </w:r>
      <w:r>
        <w:t xml:space="preserve"> </w:t>
      </w:r>
      <w:r>
        <w:t xml:space="preserve">Hasan Djafar. 1991. “Prasasti-prasasti dari masa kerajaan-kerajaan Sunda.” In:</w:t>
      </w:r>
      <w:r>
        <w:t xml:space="preserve"> </w:t>
      </w:r>
      <w:r>
        <w:rPr>
          <w:i/>
          <w:iCs/>
        </w:rPr>
        <w:t xml:space="preserve">Seminar nasional sastra dan sejarah Pakuan Pajajaran: Proceedings</w:t>
      </w:r>
      <w:r>
        <w:t xml:space="preserve">. Bogor: Universitas Pakuan Bogor dan Yayasan Pembangunan Jawa Barat, pp. 1–35. Pages 5–8.</w:t>
      </w:r>
    </w:p>
    <w:p>
      <w:pPr>
        <w:pStyle w:val="BodyText"/>
      </w:pPr>
      <w:r>
        <w:rPr>
          <w:b/>
          <w:bCs/>
        </w:rPr>
        <w:t xml:space="preserve">[TSN]</w:t>
      </w:r>
      <w:r>
        <w:t xml:space="preserve"> </w:t>
      </w:r>
      <w:r>
        <w:t xml:space="preserve">Titi Surti Nastiti. 1996. “Prasasti Kawali.”</w:t>
      </w:r>
      <w:r>
        <w:t xml:space="preserve"> </w:t>
      </w:r>
      <w:r>
        <w:rPr>
          <w:i/>
          <w:iCs/>
        </w:rPr>
        <w:t xml:space="preserve">Jurnal Penelitian Balai Arkeologi Bandung</w:t>
      </w:r>
      <w:r>
        <w:t xml:space="preserve"> </w:t>
      </w:r>
      <w:r>
        <w:t xml:space="preserve">4, pp. 19–37. Pages 22–23.</w:t>
      </w:r>
    </w:p>
    <w:p>
      <w:pPr>
        <w:pStyle w:val="BodyText"/>
      </w:pPr>
      <w:r>
        <w:rPr>
          <w:b/>
          <w:bCs/>
        </w:rPr>
        <w:t xml:space="preserve">[RK]</w:t>
      </w:r>
      <w:r>
        <w:t xml:space="preserve"> </w:t>
      </w:r>
      <w:r>
        <w:t xml:space="preserve">Richadiana Kartakusuma. 2005. “Situs Kawali: Ajaran Sunda dalam tradisi megalitik?” In:</w:t>
      </w:r>
      <w:r>
        <w:t xml:space="preserve"> </w:t>
      </w:r>
      <w:r>
        <w:rPr>
          <w:i/>
          <w:iCs/>
        </w:rPr>
        <w:t xml:space="preserve">Islam dalam Kesenian Sunda dan kajian lainnya mengenai Budaya Sunda</w:t>
      </w:r>
      <w:r>
        <w:t xml:space="preserve">. Seri Sundalana 4. Bandung: Pusat Studi Sunda, pp. 42–54. Page 50.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Raffles, Thomas Stamford. 1817.</w:t>
      </w:r>
      <w:r>
        <w:t xml:space="preserve"> </w:t>
      </w:r>
      <w:r>
        <w:rPr>
          <w:i/>
          <w:iCs/>
        </w:rPr>
        <w:t xml:space="preserve">The history of Java, volume I</w:t>
      </w:r>
      <w:r>
        <w:t xml:space="preserve">. 1st ed. London: Printed for Black, Parbury and Allen, booksellers to the Hon. East-India Company, Leadenhall Street; and John Murray, Albemarle Street.</w:t>
      </w:r>
      <w:r>
        <w:t xml:space="preserve"> </w:t>
      </w:r>
      <w:hyperlink r:id="rId10">
        <w:r>
          <w:rPr>
            <w:rStyle w:val="Hyperlink"/>
          </w:rPr>
          <w:t xml:space="preserve">[URL]</w:t>
        </w:r>
      </w:hyperlink>
      <w:r>
        <w:t xml:space="preserve">. Page 58.</w:t>
      </w:r>
    </w:p>
    <w:p>
      <w:pPr>
        <w:pStyle w:val="BodyText"/>
      </w:pPr>
      <w:r>
        <w:t xml:space="preserve">Pleyte, Cornelis Marinus. 1913. “De Patapaän Adjar soeka rĕsi, anders gezegd de kluizenarij op den Goenoeng Padang: tweede bijdrage tot de kennis van het oude Soenda.” TBG 55, pp. 281–428. Page 295.</w:t>
      </w:r>
    </w:p>
    <w:p>
      <w:pPr>
        <w:pStyle w:val="BodyText"/>
      </w:pPr>
      <w:r>
        <w:t xml:space="preserve">de Casparis, Johannes Gijsbertus. 1975.</w:t>
      </w:r>
      <w:r>
        <w:t xml:space="preserve"> </w:t>
      </w:r>
      <w:r>
        <w:rPr>
          <w:i/>
          <w:iCs/>
        </w:rPr>
        <w:t xml:space="preserve">Indonesian palaeography: A history of writing in Indonesia from the beginnings to c. A.D. 1500</w:t>
      </w:r>
      <w:r>
        <w:t xml:space="preserve">. Handbuch der Orientalistik 3.4.1. Leiden: Brill. Pages 54–56.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IDENKKawali_1a" TargetMode="External" /><Relationship Type="http://schemas.openxmlformats.org/officeDocument/2006/relationships/hyperlink" Id="rId10" Target="https://ia801300.us.archive.org/32/items/bub_gb_9OldAAAAcAAJ/bub_gb_9OldAAAAcAAJ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IDENKKawali_1a" TargetMode="External" /><Relationship Type="http://schemas.openxmlformats.org/officeDocument/2006/relationships/hyperlink" Id="rId10" Target="https://ia801300.us.archive.org/32/items/bub_gb_9OldAAAAcAAJ/bub_gb_9OldAAAAcAAJ.pdf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Kawali 2</dc:title>
  <dc:creator>Aditia Gunawan and Arlo Griffiths</dc:creator>
  <cp:keywords/>
  <dcterms:created xsi:type="dcterms:W3CDTF">2026-10-26T19:09:35Z</dcterms:created>
  <dcterms:modified xsi:type="dcterms:W3CDTF">2026-10-26T19:09:35Z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