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Huludayeuh</w:t>
      </w:r>
    </w:p>
    <w:p>
      <w:pPr>
        <w:pStyle w:val="Author"/>
      </w:pPr>
      <w:r>
        <w:t xml:space="preserve">Aditia Gunawan and Arlo Griffiths</w:t>
      </w:r>
    </w:p>
    <w:p>
      <w:pPr>
        <w:pStyle w:val="FirstParagraph"/>
      </w:pPr>
      <w:r>
        <w:t xml:space="preserve">Authors of digital edition: Aditia Gunawan, Arlo Griffiths</w:t>
      </w:r>
    </w:p>
    <w:p>
      <w:pPr>
        <w:pStyle w:val="BodyText"/>
      </w:pPr>
      <w:r>
        <w:t xml:space="preserve">Contributor: Aditia Gunawan</w:t>
      </w:r>
    </w:p>
    <w:p>
      <w:pPr>
        <w:pStyle w:val="BodyText"/>
      </w:pPr>
      <w:r>
        <w:t xml:space="preserve">Identifier: DHARMA_INSIDENKHuludayeuh</w:t>
      </w:r>
    </w:p>
    <w:p>
      <w:pPr>
        <w:pStyle w:val="BodyText"/>
      </w:pPr>
      <w:r>
        <w:t xml:space="preserve">Repository: Nusantara Epigraphy (tfc-nusantara-epigraphy)</w:t>
      </w:r>
    </w:p>
    <w:p>
      <w:pPr>
        <w:pStyle w:val="BodyText"/>
      </w:pPr>
      <w:r>
        <w:t xml:space="preserve">File path: xml/DHARMA_INSIDENKHuludayeuh.xml</w:t>
      </w:r>
    </w:p>
    <w:p>
      <w:pPr>
        <w:pStyle w:val="BodyText"/>
      </w:pPr>
      <w:r>
        <w:t xml:space="preserve">Language: Old Sundanese [Script (unspecified)]</w:t>
      </w:r>
    </w:p>
    <w:p>
      <w:pPr>
        <w:pStyle w:val="BodyText"/>
      </w:pPr>
      <w:r>
        <w:t xml:space="preserve">Commit: 2026-09-25 06:15 (19d0d3f), last modified 2026-09-09 14:27 (72454d8)</w:t>
      </w:r>
    </w:p>
    <w:p>
      <w:pPr>
        <w:pStyle w:val="Heading1"/>
      </w:pPr>
      <w:r>
        <w:t xml:space="preserve">Palaeographic description</w:t>
      </w:r>
    </w:p>
    <w:p>
      <w:pPr>
        <w:pStyle w:val="FirstParagraph"/>
      </w:pPr>
      <w:r>
        <w:t xml:space="preserve">This inscription makes use of a remarkably thick script, lacking the sharp-angled ductus that is characteristic of Sundanese script as seen in the</w:t>
      </w:r>
      <w:r>
        <w:t xml:space="preserve"> </w:t>
      </w:r>
      <w:hyperlink r:id="rId9">
        <w:r>
          <w:rPr>
            <w:rStyle w:val="Hyperlink"/>
          </w:rPr>
          <w:t xml:space="preserve">Kebantenan</w:t>
        </w:r>
      </w:hyperlink>
      <w:r>
        <w:t xml:space="preserve"> </w:t>
      </w:r>
      <w:r>
        <w:t xml:space="preserve">and</w:t>
      </w:r>
      <w:r>
        <w:t xml:space="preserve"> </w:t>
      </w:r>
      <w:hyperlink r:id="rId10">
        <w:r>
          <w:rPr>
            <w:rStyle w:val="Hyperlink"/>
          </w:rPr>
          <w:t xml:space="preserve">Kawali</w:t>
        </w:r>
      </w:hyperlink>
      <w:r>
        <w:t xml:space="preserve"> </w:t>
      </w:r>
      <w:r>
        <w:t xml:space="preserve">inscriptions, and is in that sense comparable to the</w:t>
      </w:r>
      <w:r>
        <w:t xml:space="preserve"> </w:t>
      </w:r>
      <w:hyperlink r:id="rId11">
        <w:r>
          <w:rPr>
            <w:rStyle w:val="Hyperlink"/>
          </w:rPr>
          <w:t xml:space="preserve">Linggawangi</w:t>
        </w:r>
      </w:hyperlink>
      <w:r>
        <w:t xml:space="preserve"> </w:t>
      </w:r>
      <w:r>
        <w:t xml:space="preserve">inscription. The aksara</w:t>
      </w:r>
      <w:r>
        <w:t xml:space="preserve"> </w:t>
      </w:r>
      <w:r>
        <w:rPr>
          <w:i/>
          <w:iCs/>
        </w:rPr>
        <w:t xml:space="preserve">ra</w:t>
      </w:r>
      <w:r>
        <w:t xml:space="preserve"> </w:t>
      </w:r>
      <w:r>
        <w:t xml:space="preserve">has a much longer “tail” than we see in any of the other inscriptions, and the almost box-like shape of</w:t>
      </w:r>
      <w:r>
        <w:t xml:space="preserve"> </w:t>
      </w:r>
      <w:r>
        <w:rPr>
          <w:i/>
          <w:iCs/>
        </w:rPr>
        <w:t xml:space="preserve">ma</w:t>
      </w:r>
      <w:r>
        <w:t xml:space="preserve"> </w:t>
      </w:r>
      <w:r>
        <w:t xml:space="preserve">is even more exceptional.</w:t>
      </w:r>
    </w:p>
    <w:p>
      <w:r>
        <w:pict>
          <v:rect style="width:0;height:1.5pt" o:hralign="center" o:hrstd="t" o:hr="t"/>
        </w:pict>
      </w:r>
    </w:p>
    <w:p>
      <w:pPr>
        <w:pStyle w:val="Heading1"/>
      </w:pPr>
      <w:r>
        <w:t xml:space="preserve">Edition</w:t>
      </w:r>
    </w:p>
    <w:p>
      <w:pPr>
        <w:pStyle w:val="FirstParagraph"/>
      </w:pPr>
      <w:r>
        <w:rPr>
          <w:rStyle w:val="ColorGray"/>
        </w:rPr>
        <w:t xml:space="preserve"> </w:t>
      </w:r>
      <w:r>
        <w:rPr>
          <w:rStyle w:val="ColorGray"/>
        </w:rPr>
        <w:t xml:space="preserve">⟨1⟩</w:t>
      </w:r>
      <w:r>
        <w:rPr>
          <w:rStyle w:val="ColorGray"/>
        </w:rPr>
        <w:t xml:space="preserve"> </w:t>
      </w:r>
      <w:r>
        <w:t xml:space="preserve">[…](ra)tu (ṅa)rana, (ta) […]</w:t>
      </w:r>
      <w:r>
        <w:rPr>
          <w:rStyle w:val="ColorGray"/>
        </w:rPr>
        <w:t xml:space="preserve"> </w:t>
      </w:r>
      <w:r>
        <w:rPr>
          <w:rStyle w:val="ColorGray"/>
        </w:rPr>
        <w:t xml:space="preserve">⟨2⟩</w:t>
      </w:r>
      <w:r>
        <w:rPr>
          <w:rStyle w:val="ColorGray"/>
        </w:rPr>
        <w:t xml:space="preserve"> </w:t>
      </w:r>
      <w:r>
        <w:t xml:space="preserve">[…] sri maḥ(ha)ra(ja) ra (t)[u]</w:t>
      </w:r>
      <w:r>
        <w:rPr>
          <w:rStyle w:val="ColorGray"/>
        </w:rPr>
        <w:t xml:space="preserve"> </w:t>
      </w:r>
      <w:r>
        <w:rPr>
          <w:rStyle w:val="ColorGray"/>
        </w:rPr>
        <w:t xml:space="preserve">⟨3⟩</w:t>
      </w:r>
      <w:r>
        <w:rPr>
          <w:rStyle w:val="ColorGray"/>
        </w:rPr>
        <w:t xml:space="preserve"> </w:t>
      </w:r>
      <w:r>
        <w:t xml:space="preserve">[ha](j)[i] ri pakvan· sya saṁ ra(t)[u]</w:t>
      </w:r>
      <w:r>
        <w:rPr>
          <w:rStyle w:val="ColorGray"/>
        </w:rPr>
        <w:t xml:space="preserve"> </w:t>
      </w:r>
      <w:r>
        <w:rPr>
          <w:rStyle w:val="ColorGray"/>
        </w:rPr>
        <w:t xml:space="preserve">⟨4⟩</w:t>
      </w:r>
      <w:r>
        <w:rPr>
          <w:rStyle w:val="ColorGray"/>
        </w:rPr>
        <w:t xml:space="preserve"> </w:t>
      </w:r>
      <w:r>
        <w:t xml:space="preserve">[de](va)ta pun·, masa sya</w:t>
      </w:r>
      <w:r>
        <w:rPr>
          <w:rStyle w:val="ColorGray"/>
        </w:rPr>
        <w:t xml:space="preserve"> </w:t>
      </w:r>
      <w:r>
        <w:rPr>
          <w:rStyle w:val="ColorGray"/>
        </w:rPr>
        <w:t xml:space="preserve">⟨5⟩</w:t>
      </w:r>
      <w:r>
        <w:rPr>
          <w:rStyle w:val="ColorGray"/>
        </w:rPr>
        <w:t xml:space="preserve"> </w:t>
      </w:r>
      <w:r>
        <w:t xml:space="preserve">ṅrətakən· bumi ṅaha</w:t>
      </w:r>
      <w:r>
        <w:rPr>
          <w:rStyle w:val="ColorGray"/>
        </w:rPr>
        <w:t xml:space="preserve">⟨6⟩</w:t>
      </w:r>
      <w:r>
        <w:t xml:space="preserve">li⟨m⟩pukən· na bvan·na</w:t>
      </w:r>
      <w:r>
        <w:rPr>
          <w:rStyle w:val="ColorGray"/>
        </w:rPr>
        <w:t xml:space="preserve"> </w:t>
      </w:r>
      <w:r>
        <w:rPr>
          <w:rStyle w:val="ColorGray"/>
        </w:rPr>
        <w:t xml:space="preserve">⟨7⟩</w:t>
      </w:r>
      <w:r>
        <w:rPr>
          <w:rStyle w:val="ColorGray"/>
        </w:rPr>
        <w:t xml:space="preserve"> </w:t>
      </w:r>
      <w:r>
        <w:t xml:space="preserve">ñuruḥ saṁ (di)si suk·laja</w:t>
      </w:r>
      <w:r>
        <w:rPr>
          <w:rStyle w:val="ColorGray"/>
        </w:rPr>
        <w:t xml:space="preserve">⟨8⟩</w:t>
      </w:r>
      <w:r>
        <w:t xml:space="preserve">(t)i ṅaR̥buḥkən· Ikaṁ ka</w:t>
      </w:r>
      <w:r>
        <w:rPr>
          <w:rStyle w:val="ColorGray"/>
        </w:rPr>
        <w:t xml:space="preserve">⟨9⟩</w:t>
      </w:r>
      <w:r>
        <w:t xml:space="preserve">yu si pr̥⟨n⟩dakaḥ, ṅalaAn·</w:t>
      </w:r>
      <w:r>
        <w:rPr>
          <w:rStyle w:val="ColorGray"/>
        </w:rPr>
        <w:t xml:space="preserve"> </w:t>
      </w:r>
      <w:r>
        <w:rPr>
          <w:rStyle w:val="ColorGray"/>
        </w:rPr>
        <w:t xml:space="preserve">⟨10⟩</w:t>
      </w:r>
      <w:r>
        <w:rPr>
          <w:rStyle w:val="ColorGray"/>
        </w:rPr>
        <w:t xml:space="preserve"> </w:t>
      </w:r>
      <w:r>
        <w:t xml:space="preserve">na Udubasu, mipati</w:t>
      </w:r>
      <w:r>
        <w:rPr>
          <w:rStyle w:val="ColorGray"/>
        </w:rPr>
        <w:t xml:space="preserve">⟨11⟩</w:t>
      </w:r>
      <w:r>
        <w:t xml:space="preserve">kən·n ikaṁ kala</w:t>
      </w:r>
    </w:p>
    <w:p>
      <w:pPr>
        <w:pStyle w:val="Heading1"/>
      </w:pPr>
      <w:r>
        <w:t xml:space="preserve">Apparatus</w:t>
      </w:r>
    </w:p>
    <w:p>
      <w:pPr>
        <w:pStyle w:val="FirstParagraph"/>
      </w:pPr>
      <w:r>
        <w:rPr>
          <w:rStyle w:val="ColorGray"/>
        </w:rPr>
        <w:t xml:space="preserve">⟨1⟩</w:t>
      </w:r>
      <w:r>
        <w:t xml:space="preserve"> </w:t>
      </w:r>
      <w:r>
        <w:t xml:space="preserve">(ṅa)rana ⬦</w:t>
      </w:r>
      <w:r>
        <w:t xml:space="preserve"> </w:t>
      </w:r>
      <w:r>
        <w:rPr>
          <w:rStyle w:val="ColorGreen"/>
          <w:i/>
          <w:iCs/>
        </w:rPr>
        <w:t xml:space="preserve">purana</w:t>
      </w:r>
      <w:r>
        <w:t xml:space="preserve"> </w:t>
      </w:r>
      <w:r>
        <w:t xml:space="preserve">HD • The sign read as</w:t>
      </w:r>
      <w:r>
        <w:t xml:space="preserve"> </w:t>
      </w:r>
      <w:r>
        <w:rPr>
          <w:i/>
          <w:iCs/>
        </w:rPr>
        <w:t xml:space="preserve">pu</w:t>
      </w:r>
      <w:r>
        <w:t xml:space="preserve"> </w:t>
      </w:r>
      <w:r>
        <w:t xml:space="preserve">by HD is quite faded, but resembles much more closely the</w:t>
      </w:r>
      <w:r>
        <w:t xml:space="preserve"> </w:t>
      </w:r>
      <w:r>
        <w:rPr>
          <w:i/>
          <w:iCs/>
        </w:rPr>
        <w:t xml:space="preserve">ṅa</w:t>
      </w:r>
      <w:r>
        <w:t xml:space="preserve"> </w:t>
      </w:r>
      <w:r>
        <w:t xml:space="preserve">in line 8. Moreover, the vocalization</w:t>
      </w:r>
      <w:r>
        <w:t xml:space="preserve"> </w:t>
      </w:r>
      <w:r>
        <w:rPr>
          <w:i/>
          <w:iCs/>
        </w:rPr>
        <w:t xml:space="preserve">u</w:t>
      </w:r>
      <w:r>
        <w:t xml:space="preserve"> </w:t>
      </w:r>
      <w:r>
        <w:t xml:space="preserve">below the sign to the left (</w:t>
      </w:r>
      <w:r>
        <w:rPr>
          <w:i/>
          <w:iCs/>
        </w:rPr>
        <w:t xml:space="preserve">tu</w:t>
      </w:r>
      <w:r>
        <w:t xml:space="preserve">) is perfectly clear, so it is very hard to suppose the presence of another such vocalization which would be totally invisible right next to it.</w:t>
      </w:r>
    </w:p>
    <w:p>
      <w:pPr>
        <w:pStyle w:val="BodyText"/>
      </w:pPr>
      <w:r>
        <w:rPr>
          <w:rStyle w:val="ColorGray"/>
        </w:rPr>
        <w:t xml:space="preserve">⟨3⟩</w:t>
      </w:r>
      <w:r>
        <w:t xml:space="preserve"> </w:t>
      </w:r>
      <w:r>
        <w:t xml:space="preserve">[ha](j)[i] • In Hasan Djafar’s eye-copy, the consonant</w:t>
      </w:r>
      <w:r>
        <w:t xml:space="preserve"> </w:t>
      </w:r>
      <w:r>
        <w:rPr>
          <w:i/>
          <w:iCs/>
        </w:rPr>
        <w:t xml:space="preserve">j</w:t>
      </w:r>
      <w:r>
        <w:t xml:space="preserve"> </w:t>
      </w:r>
      <w:r>
        <w:t xml:space="preserve">is clear, but the estampages do not allow to confirm this reading. Nevertheless, comparison with Batutulis, line 3, strongly suggests that indeed one needs to restore</w:t>
      </w:r>
      <w:r>
        <w:t xml:space="preserve"> </w:t>
      </w:r>
      <w:r>
        <w:rPr>
          <w:i/>
          <w:iCs/>
        </w:rPr>
        <w:t xml:space="preserve">haji</w:t>
      </w:r>
      <w:r>
        <w:t xml:space="preserve">.</w:t>
      </w:r>
    </w:p>
    <w:p>
      <w:pPr>
        <w:pStyle w:val="BodyText"/>
      </w:pPr>
      <w:r>
        <w:rPr>
          <w:rStyle w:val="ColorGray"/>
        </w:rPr>
        <w:t xml:space="preserve">⟨5⟩</w:t>
      </w:r>
      <w:r>
        <w:t xml:space="preserve"> </w:t>
      </w:r>
      <w:r>
        <w:t xml:space="preserve">ṅrətakən· ⬦</w:t>
      </w:r>
      <w:r>
        <w:t xml:space="preserve"> </w:t>
      </w:r>
      <w:r>
        <w:rPr>
          <w:rStyle w:val="ColorGreen"/>
          <w:i/>
          <w:iCs/>
        </w:rPr>
        <w:t xml:space="preserve">ṅrətakə:n</w:t>
      </w:r>
      <w:r>
        <w:t xml:space="preserve"> </w:t>
      </w:r>
      <w:r>
        <w:t xml:space="preserve">HD. —</w:t>
      </w:r>
      <w:r>
        <w:t xml:space="preserve"> </w:t>
      </w:r>
      <w:r>
        <w:rPr>
          <w:rStyle w:val="ColorGray"/>
        </w:rPr>
        <w:t xml:space="preserve">⟨5⟩</w:t>
      </w:r>
      <w:r>
        <w:t xml:space="preserve"> </w:t>
      </w:r>
      <w:r>
        <w:t xml:space="preserve">ṅaha</w:t>
      </w:r>
      <w:r>
        <w:rPr>
          <w:rStyle w:val="ColorGray"/>
        </w:rPr>
        <w:t xml:space="preserve">⟨6⟩</w:t>
      </w:r>
      <w:r>
        <w:t xml:space="preserve">li⟨m⟩pukən· ⬦</w:t>
      </w:r>
      <w:r>
        <w:t xml:space="preserve"> </w:t>
      </w:r>
      <w:r>
        <w:rPr>
          <w:rStyle w:val="ColorGreen"/>
          <w:i/>
          <w:iCs/>
        </w:rPr>
        <w:t xml:space="preserve">ṅaha[…]lipukən</w:t>
      </w:r>
      <w:r>
        <w:t xml:space="preserve"> </w:t>
      </w:r>
      <w:r>
        <w:t xml:space="preserve">HD • HD notes that some aksaras are lost in a gap between</w:t>
      </w:r>
      <w:r>
        <w:t xml:space="preserve"> </w:t>
      </w:r>
      <w:r>
        <w:rPr>
          <w:i/>
          <w:iCs/>
        </w:rPr>
        <w:t xml:space="preserve">ṅaha</w:t>
      </w:r>
      <w:r>
        <w:t xml:space="preserve"> </w:t>
      </w:r>
      <w:r>
        <w:t xml:space="preserve">and</w:t>
      </w:r>
      <w:r>
        <w:t xml:space="preserve"> </w:t>
      </w:r>
      <w:r>
        <w:rPr>
          <w:i/>
          <w:iCs/>
        </w:rPr>
        <w:t xml:space="preserve">lipukən</w:t>
      </w:r>
      <w:r>
        <w:t xml:space="preserve">, due to damage suffered by the end of line 5 and in the beginning of line 6. But in our opinion, there is no reason to presume any loss of</w:t>
      </w:r>
      <w:r>
        <w:t xml:space="preserve"> </w:t>
      </w:r>
      <w:r>
        <w:rPr>
          <w:i/>
          <w:iCs/>
        </w:rPr>
        <w:t xml:space="preserve">aksaras</w:t>
      </w:r>
      <w:r>
        <w:t xml:space="preserve"> </w:t>
      </w:r>
      <w:r>
        <w:t xml:space="preserve">here at all.</w:t>
      </w:r>
    </w:p>
    <w:p>
      <w:pPr>
        <w:pStyle w:val="BodyText"/>
      </w:pPr>
      <w:r>
        <w:rPr>
          <w:rStyle w:val="ColorGray"/>
        </w:rPr>
        <w:t xml:space="preserve">⟨7⟩</w:t>
      </w:r>
      <w:r>
        <w:t xml:space="preserve"> </w:t>
      </w:r>
      <w:r>
        <w:t xml:space="preserve">ñuruḥ ⬦</w:t>
      </w:r>
      <w:r>
        <w:t xml:space="preserve"> </w:t>
      </w:r>
      <w:r>
        <w:rPr>
          <w:rStyle w:val="ColorGreen"/>
          <w:i/>
          <w:iCs/>
        </w:rPr>
        <w:t xml:space="preserve">ñaraḥ</w:t>
      </w:r>
      <w:r>
        <w:t xml:space="preserve"> </w:t>
      </w:r>
      <w:r>
        <w:t xml:space="preserve">HD • It is clear in the estampage that there are two</w:t>
      </w:r>
      <w:r>
        <w:t xml:space="preserve"> </w:t>
      </w:r>
      <w:r>
        <w:rPr>
          <w:i/>
          <w:iCs/>
        </w:rPr>
        <w:t xml:space="preserve">panyuku</w:t>
      </w:r>
      <w:r>
        <w:t xml:space="preserve">s. —</w:t>
      </w:r>
      <w:r>
        <w:t xml:space="preserve"> </w:t>
      </w:r>
      <w:r>
        <w:rPr>
          <w:rStyle w:val="ColorGray"/>
        </w:rPr>
        <w:t xml:space="preserve">⟨7⟩</w:t>
      </w:r>
      <w:r>
        <w:t xml:space="preserve"> </w:t>
      </w:r>
      <w:r>
        <w:t xml:space="preserve">(di)si suk·laja(t)i ⬦</w:t>
      </w:r>
      <w:r>
        <w:t xml:space="preserve"> </w:t>
      </w:r>
      <w:r>
        <w:rPr>
          <w:rStyle w:val="ColorGreen"/>
          <w:i/>
          <w:iCs/>
        </w:rPr>
        <w:t xml:space="preserve">dv isi suk· laja[…]i</w:t>
      </w:r>
      <w:r>
        <w:t xml:space="preserve"> </w:t>
      </w:r>
      <w:r>
        <w:t xml:space="preserve">HD • There indeed seems to be some element below the</w:t>
      </w:r>
      <w:r>
        <w:t xml:space="preserve"> </w:t>
      </w:r>
      <w:r>
        <w:rPr>
          <w:i/>
          <w:iCs/>
        </w:rPr>
        <w:t xml:space="preserve">akṣara</w:t>
      </w:r>
      <w:r>
        <w:t xml:space="preserve"> </w:t>
      </w:r>
      <w:r>
        <w:t xml:space="preserve">di (cf. Hasan Djafar’s</w:t>
      </w:r>
      <w:r>
        <w:t xml:space="preserve"> </w:t>
      </w:r>
      <w:r>
        <w:rPr>
          <w:i/>
          <w:iCs/>
        </w:rPr>
        <w:t xml:space="preserve">dv</w:t>
      </w:r>
      <w:r>
        <w:t xml:space="preserve">), but in our opinion it is most likely to be accidental.</w:t>
      </w:r>
    </w:p>
    <w:p>
      <w:pPr>
        <w:pStyle w:val="BodyText"/>
      </w:pPr>
      <w:r>
        <w:rPr>
          <w:rStyle w:val="ColorGray"/>
        </w:rPr>
        <w:t xml:space="preserve">⟨8⟩</w:t>
      </w:r>
      <w:r>
        <w:t xml:space="preserve"> </w:t>
      </w:r>
      <w:r>
        <w:t xml:space="preserve">ṅaR̥buḥkən· ⬦</w:t>
      </w:r>
      <w:r>
        <w:t xml:space="preserve"> </w:t>
      </w:r>
      <w:r>
        <w:rPr>
          <w:rStyle w:val="ColorGreen"/>
          <w:i/>
          <w:iCs/>
        </w:rPr>
        <w:t xml:space="preserve">ṅaRbaḥkən</w:t>
      </w:r>
      <w:r>
        <w:t xml:space="preserve"> </w:t>
      </w:r>
      <w:r>
        <w:t xml:space="preserve">HD • There is clearly a</w:t>
      </w:r>
      <w:r>
        <w:t xml:space="preserve"> </w:t>
      </w:r>
      <w:r>
        <w:rPr>
          <w:i/>
          <w:iCs/>
        </w:rPr>
        <w:t xml:space="preserve">panyuku</w:t>
      </w:r>
      <w:r>
        <w:t xml:space="preserve">. —</w:t>
      </w:r>
      <w:r>
        <w:t xml:space="preserve"> </w:t>
      </w:r>
      <w:r>
        <w:rPr>
          <w:rStyle w:val="ColorGray"/>
        </w:rPr>
        <w:t xml:space="preserve">⟨8⟩</w:t>
      </w:r>
      <w:r>
        <w:t xml:space="preserve"> </w:t>
      </w:r>
      <w:r>
        <w:t xml:space="preserve">ka</w:t>
      </w:r>
      <w:r>
        <w:rPr>
          <w:rStyle w:val="ColorGray"/>
        </w:rPr>
        <w:t xml:space="preserve">⟨9⟩</w:t>
      </w:r>
      <w:r>
        <w:t xml:space="preserve">yu ⬦</w:t>
      </w:r>
      <w:r>
        <w:t xml:space="preserve"> </w:t>
      </w:r>
      <w:r>
        <w:rPr>
          <w:rStyle w:val="ColorGreen"/>
          <w:i/>
          <w:iCs/>
        </w:rPr>
        <w:t xml:space="preserve">ka[…]su</w:t>
      </w:r>
      <w:r>
        <w:t xml:space="preserve"> </w:t>
      </w:r>
      <w:r>
        <w:t xml:space="preserve">HD • Although damage to the stone has made some part of the left vertical stroke of</w:t>
      </w:r>
      <w:r>
        <w:t xml:space="preserve"> </w:t>
      </w:r>
      <w:r>
        <w:rPr>
          <w:i/>
          <w:iCs/>
        </w:rPr>
        <w:t xml:space="preserve">y</w:t>
      </w:r>
      <w:r>
        <w:t xml:space="preserve"> </w:t>
      </w:r>
      <w:r>
        <w:t xml:space="preserve">disappear, the aksara</w:t>
      </w:r>
      <w:r>
        <w:t xml:space="preserve"> </w:t>
      </w:r>
      <w:r>
        <w:rPr>
          <w:i/>
          <w:iCs/>
        </w:rPr>
        <w:t xml:space="preserve">yu</w:t>
      </w:r>
      <w:r>
        <w:t xml:space="preserve"> </w:t>
      </w:r>
      <w:r>
        <w:t xml:space="preserve">can still be read with certainty. Its width is definitely greater than that expected for</w:t>
      </w:r>
      <w:r>
        <w:t xml:space="preserve"> </w:t>
      </w:r>
      <w:r>
        <w:rPr>
          <w:i/>
          <w:iCs/>
        </w:rPr>
        <w:t xml:space="preserve">su</w:t>
      </w:r>
      <w:r>
        <w:t xml:space="preserve">.</w:t>
      </w:r>
    </w:p>
    <w:p>
      <w:pPr>
        <w:pStyle w:val="BodyText"/>
      </w:pPr>
      <w:r>
        <w:rPr>
          <w:rStyle w:val="ColorGray"/>
        </w:rPr>
        <w:t xml:space="preserve">⟨9⟩</w:t>
      </w:r>
      <w:r>
        <w:t xml:space="preserve"> </w:t>
      </w:r>
      <w:r>
        <w:t xml:space="preserve">si pr̥⟨n⟩dakaḥ ⬦</w:t>
      </w:r>
      <w:r>
        <w:t xml:space="preserve"> </w:t>
      </w:r>
      <w:r>
        <w:rPr>
          <w:rStyle w:val="ColorGreen"/>
          <w:i/>
          <w:iCs/>
        </w:rPr>
        <w:t xml:space="preserve">si padakaḥ</w:t>
      </w:r>
      <w:r>
        <w:t xml:space="preserve"> </w:t>
      </w:r>
      <w:r>
        <w:t xml:space="preserve">HD • We see quite clearly a round stroke under</w:t>
      </w:r>
      <w:r>
        <w:t xml:space="preserve"> </w:t>
      </w:r>
      <w:r>
        <w:rPr>
          <w:i/>
          <w:iCs/>
        </w:rPr>
        <w:t xml:space="preserve">p</w:t>
      </w:r>
      <w:r>
        <w:t xml:space="preserve"> </w:t>
      </w:r>
      <w:r>
        <w:t xml:space="preserve">that must represent</w:t>
      </w:r>
      <w:r>
        <w:t xml:space="preserve"> </w:t>
      </w:r>
      <w:r>
        <w:rPr>
          <w:i/>
          <w:iCs/>
        </w:rPr>
        <w:t xml:space="preserve">pasangan r̥</w:t>
      </w:r>
      <w:r>
        <w:t xml:space="preserve">. —</w:t>
      </w:r>
      <w:r>
        <w:t xml:space="preserve"> </w:t>
      </w:r>
      <w:r>
        <w:rPr>
          <w:rStyle w:val="ColorGray"/>
        </w:rPr>
        <w:t xml:space="preserve">⟨9⟩</w:t>
      </w:r>
      <w:r>
        <w:t xml:space="preserve"> </w:t>
      </w:r>
      <w:r>
        <w:t xml:space="preserve">ṅalaAn ⬦</w:t>
      </w:r>
      <w:r>
        <w:t xml:space="preserve"> </w:t>
      </w:r>
      <w:r>
        <w:rPr>
          <w:rStyle w:val="ColorGreen"/>
          <w:i/>
          <w:iCs/>
        </w:rPr>
        <w:t xml:space="preserve">ṅalasan</w:t>
      </w:r>
      <w:r>
        <w:t xml:space="preserve"> </w:t>
      </w:r>
      <w:r>
        <w:t xml:space="preserve">HD • The shape of</w:t>
      </w:r>
      <w:r>
        <w:t xml:space="preserve"> </w:t>
      </w:r>
      <w:r>
        <w:rPr>
          <w:i/>
          <w:iCs/>
        </w:rPr>
        <w:t xml:space="preserve">A</w:t>
      </w:r>
      <w:r>
        <w:t xml:space="preserve"> </w:t>
      </w:r>
      <w:r>
        <w:t xml:space="preserve">is slightly different than that of</w:t>
      </w:r>
      <w:r>
        <w:t xml:space="preserve"> </w:t>
      </w:r>
      <w:r>
        <w:rPr>
          <w:i/>
          <w:iCs/>
        </w:rPr>
        <w:t xml:space="preserve">sa</w:t>
      </w:r>
      <w:r>
        <w:t xml:space="preserve"> </w:t>
      </w:r>
      <w:r>
        <w:t xml:space="preserve">(cf.</w:t>
      </w:r>
      <w:r>
        <w:t xml:space="preserve"> </w:t>
      </w:r>
      <w:r>
        <w:rPr>
          <w:i/>
          <w:iCs/>
        </w:rPr>
        <w:t xml:space="preserve">saṁ</w:t>
      </w:r>
      <w:r>
        <w:t xml:space="preserve"> </w:t>
      </w:r>
      <w:r>
        <w:t xml:space="preserve">in line 3).</w:t>
      </w:r>
    </w:p>
    <w:p>
      <w:pPr>
        <w:pStyle w:val="BodyText"/>
      </w:pPr>
      <w:r>
        <w:rPr>
          <w:rStyle w:val="ColorGray"/>
        </w:rPr>
        <w:t xml:space="preserve">⟨10⟩</w:t>
      </w:r>
      <w:r>
        <w:t xml:space="preserve"> </w:t>
      </w:r>
      <w:r>
        <w:t xml:space="preserve">mipat(i)kən· ⬦</w:t>
      </w:r>
      <w:r>
        <w:t xml:space="preserve"> </w:t>
      </w:r>
      <w:r>
        <w:rPr>
          <w:rStyle w:val="ColorGreen"/>
          <w:i/>
          <w:iCs/>
        </w:rPr>
        <w:t xml:space="preserve">mipatā[…]Iś·</w:t>
      </w:r>
      <w:r>
        <w:t xml:space="preserve"> </w:t>
      </w:r>
      <w:r>
        <w:t xml:space="preserve">HD.</w:t>
      </w:r>
    </w:p>
    <w:p>
      <w:pPr>
        <w:pStyle w:val="Heading1"/>
      </w:pPr>
      <w:r>
        <w:t xml:space="preserve">Translation</w:t>
      </w:r>
    </w:p>
    <w:p>
      <w:pPr>
        <w:pStyle w:val="FirstParagraph"/>
      </w:pPr>
      <w:r>
        <w:t xml:space="preserve">[…] Ratu by name, […] Sri Maharaja king of kings in Pakuan. He was Sang Ratu Déwata, when he made the world prosperous, pleased the earth, by ordering the</w:t>
      </w:r>
      <w:r>
        <w:t xml:space="preserve"> </w:t>
      </w:r>
      <w:r>
        <w:rPr>
          <w:i/>
          <w:iCs/>
        </w:rPr>
        <w:t xml:space="preserve">disi</w:t>
      </w:r>
      <w:r>
        <w:t xml:space="preserve"> </w:t>
      </w:r>
      <w:r>
        <w:t xml:space="preserve">Suklajati to fell the widely branching trees, removed Udubasu, killed Kala.</w:t>
      </w:r>
    </w:p>
    <w:p>
      <w:pPr>
        <w:pStyle w:val="Heading1"/>
      </w:pPr>
      <w:r>
        <w:t xml:space="preserve">Commentary</w:t>
      </w:r>
    </w:p>
    <w:p>
      <w:pPr>
        <w:pStyle w:val="FirstParagraph"/>
      </w:pPr>
      <w:r>
        <w:t xml:space="preserve">Hasan Djafar 1994 indicated with ellipsis at the beginnings and ends of all lines except line 3 that an undetermined number of</w:t>
      </w:r>
      <w:r>
        <w:t xml:space="preserve"> </w:t>
      </w:r>
      <w:r>
        <w:rPr>
          <w:i/>
          <w:iCs/>
        </w:rPr>
        <w:t xml:space="preserve">akṣara</w:t>
      </w:r>
      <w:r>
        <w:t xml:space="preserve">s has been lost there. This, we feel, is too imprecise. In fact it seems that a rather small number of akṣaras is lost, because we can read unintterrupted words at the transitions between lines 5–6, 7–8, 8–9 and 10–11. This means that not more than 1 akṣara is lost at the right ends of lines 1, 2, 3 and 6. It is not possible to estimate with precision the number of</w:t>
      </w:r>
      <w:r>
        <w:t xml:space="preserve"> </w:t>
      </w:r>
      <w:r>
        <w:rPr>
          <w:i/>
          <w:iCs/>
        </w:rPr>
        <w:t xml:space="preserve">akṣara</w:t>
      </w:r>
      <w:r>
        <w:t xml:space="preserve">s that might have been lost at the openings of lines 1 and 2.</w:t>
      </w:r>
    </w:p>
    <w:p>
      <w:pPr>
        <w:pStyle w:val="BodyText"/>
      </w:pPr>
      <w:r>
        <w:rPr>
          <w:rStyle w:val="ColorGray"/>
        </w:rPr>
        <w:t xml:space="preserve">⟨4⟩</w:t>
      </w:r>
      <w:r>
        <w:t xml:space="preserve"> </w:t>
      </w:r>
      <w:r>
        <w:rPr>
          <w:i/>
          <w:iCs/>
        </w:rPr>
        <w:t xml:space="preserve">masa sya</w:t>
      </w:r>
      <w:r>
        <w:t xml:space="preserve"> </w:t>
      </w:r>
      <w:r>
        <w:t xml:space="preserve">◇ The word</w:t>
      </w:r>
      <w:r>
        <w:t xml:space="preserve"> </w:t>
      </w:r>
      <w:r>
        <w:rPr>
          <w:i/>
          <w:iCs/>
        </w:rPr>
        <w:t xml:space="preserve">masa</w:t>
      </w:r>
      <w:r>
        <w:t xml:space="preserve"> </w:t>
      </w:r>
      <w:r>
        <w:t xml:space="preserve">has two functions in Old Sundanese. It can be a noun meaning “time”, as in</w:t>
      </w:r>
      <w:r>
        <w:t xml:space="preserve"> </w:t>
      </w:r>
      <w:r>
        <w:rPr>
          <w:i/>
          <w:iCs/>
        </w:rPr>
        <w:t xml:space="preserve">The Sons of Rama and Ravana</w:t>
      </w:r>
      <w:r>
        <w:t xml:space="preserve"> </w:t>
      </w:r>
      <w:r>
        <w:t xml:space="preserve">758–759</w:t>
      </w:r>
      <w:r>
        <w:t xml:space="preserve"> </w:t>
      </w:r>
      <w:r>
        <w:rPr>
          <w:i/>
          <w:iCs/>
        </w:rPr>
        <w:t xml:space="preserve">ulah rea kasauran, hese lamun lain masa</w:t>
      </w:r>
      <w:r>
        <w:t xml:space="preserve"> </w:t>
      </w:r>
      <w:r>
        <w:t xml:space="preserve">“do not waste too many words on it, it is difficult when it is not the proper time”. Its second function, which seems to be the one we are dealing with here, is as conjunction “when”, usually at the beginning of the clause. Cf.</w:t>
      </w:r>
      <w:r>
        <w:t xml:space="preserve"> </w:t>
      </w:r>
      <w:r>
        <w:rPr>
          <w:i/>
          <w:iCs/>
        </w:rPr>
        <w:t xml:space="preserve">Pakeən Raga</w:t>
      </w:r>
      <w:r>
        <w:t xml:space="preserve"> </w:t>
      </w:r>
      <w:r>
        <w:t xml:space="preserve">24r4–v1</w:t>
      </w:r>
      <w:r>
        <w:t xml:space="preserve"> </w:t>
      </w:r>
      <w:r>
        <w:rPr>
          <w:i/>
          <w:iCs/>
        </w:rPr>
        <w:t xml:space="preserve">masa siya ti manusa, nu ma⟨ṅ⟩ku saṅ hyaṅ hayu, ma⟨ṅ⟩katkən saṅ hyaṅ ajñana</w:t>
      </w:r>
      <w:r>
        <w:t xml:space="preserve"> </w:t>
      </w:r>
      <w:r>
        <w:t xml:space="preserve">“when he was in the form of a human, endowed with the holy weal, bringing with him the holy knowledge” and</w:t>
      </w:r>
      <w:r>
        <w:t xml:space="preserve"> </w:t>
      </w:r>
      <w:r>
        <w:rPr>
          <w:i/>
          <w:iCs/>
        </w:rPr>
        <w:t xml:space="preserve">Carita Parahyaṅan</w:t>
      </w:r>
      <w:r>
        <w:t xml:space="preserve"> </w:t>
      </w:r>
      <w:r>
        <w:t xml:space="preserve">15b</w:t>
      </w:r>
      <w:r>
        <w:t xml:space="preserve"> </w:t>
      </w:r>
      <w:r>
        <w:rPr>
          <w:i/>
          <w:iCs/>
        </w:rPr>
        <w:t xml:space="preserve">rahiyaṅtaṅ vərəh masa siya ti‹ṅ›gal anak sapilañcəkan</w:t>
      </w:r>
      <w:r>
        <w:t xml:space="preserve"> </w:t>
      </w:r>
      <w:r>
        <w:t xml:space="preserve">“[It is] Rahiyangtang Wereh, when he had left all his children”.</w:t>
      </w:r>
    </w:p>
    <w:p>
      <w:pPr>
        <w:pStyle w:val="BodyText"/>
      </w:pPr>
      <w:r>
        <w:rPr>
          <w:rStyle w:val="ColorGray"/>
        </w:rPr>
        <w:t xml:space="preserve">⟨5–6⟩</w:t>
      </w:r>
      <w:r>
        <w:t xml:space="preserve"> </w:t>
      </w:r>
      <w:r>
        <w:rPr>
          <w:i/>
          <w:iCs/>
        </w:rPr>
        <w:t xml:space="preserve">ṅahalimpukən</w:t>
      </w:r>
      <w:r>
        <w:t xml:space="preserve"> </w:t>
      </w:r>
      <w:r>
        <w:t xml:space="preserve">◇ The form</w:t>
      </w:r>
      <w:r>
        <w:t xml:space="preserve"> </w:t>
      </w:r>
      <w:r>
        <w:rPr>
          <w:i/>
          <w:iCs/>
        </w:rPr>
        <w:t xml:space="preserve">ṅahalimpukən</w:t>
      </w:r>
      <w:r>
        <w:t xml:space="preserve"> </w:t>
      </w:r>
      <w:r>
        <w:t xml:space="preserve">is derived from the base</w:t>
      </w:r>
      <w:r>
        <w:t xml:space="preserve"> </w:t>
      </w:r>
      <w:r>
        <w:rPr>
          <w:i/>
          <w:iCs/>
        </w:rPr>
        <w:t xml:space="preserve">halimpu</w:t>
      </w:r>
      <w:r>
        <w:t xml:space="preserve"> </w:t>
      </w:r>
      <w:r>
        <w:t xml:space="preserve">which is still used in MdS, meaning “melodious, sweet-sounding, harmonious (of the voice: not shrill or high-pitched)”. It seems that the meaning was broader in OS, not only connected with sound. Cf. Siksa Kandaṅ Karəsian 3:</w:t>
      </w:r>
      <w:r>
        <w:t xml:space="preserve"> </w:t>
      </w:r>
      <w:r>
        <w:rPr>
          <w:i/>
          <w:iCs/>
        </w:rPr>
        <w:t xml:space="preserve">lamunna pahi kaopeksa saṅ hyaṅ vuku lima, na bvana boa halimpu</w:t>
      </w:r>
      <w:r>
        <w:t xml:space="preserve"> </w:t>
      </w:r>
      <w:r>
        <w:t xml:space="preserve">“if all five segments had been noticed, the earth would be harmonious”; Kavih Paniṅkəs 848–849:</w:t>
      </w:r>
      <w:r>
        <w:t xml:space="preserve"> </w:t>
      </w:r>
      <w:r>
        <w:rPr>
          <w:i/>
          <w:iCs/>
        </w:rPr>
        <w:t xml:space="preserve">hamo ñaho di pamali, moha di sabda nu halimpu</w:t>
      </w:r>
      <w:r>
        <w:t xml:space="preserve"> </w:t>
      </w:r>
      <w:r>
        <w:t xml:space="preserve">“Ignorant about forbidden things, confused about harmonious sound”.</w:t>
      </w:r>
    </w:p>
    <w:p>
      <w:pPr>
        <w:pStyle w:val="BodyText"/>
      </w:pPr>
      <w:r>
        <w:rPr>
          <w:rStyle w:val="ColorGray"/>
        </w:rPr>
        <w:t xml:space="preserve">⟨7⟩</w:t>
      </w:r>
      <w:r>
        <w:t xml:space="preserve"> </w:t>
      </w:r>
      <w:r>
        <w:rPr>
          <w:i/>
          <w:iCs/>
        </w:rPr>
        <w:t xml:space="preserve">ñuruḥ</w:t>
      </w:r>
      <w:r>
        <w:t xml:space="preserve"> </w:t>
      </w:r>
      <w:r>
        <w:t xml:space="preserve">◇ There is no verb</w:t>
      </w:r>
      <w:r>
        <w:t xml:space="preserve"> </w:t>
      </w:r>
      <w:r>
        <w:rPr>
          <w:i/>
          <w:iCs/>
        </w:rPr>
        <w:t xml:space="preserve">nyuruh</w:t>
      </w:r>
      <w:r>
        <w:t xml:space="preserve"> </w:t>
      </w:r>
      <w:r>
        <w:t xml:space="preserve">in MdS, but we find</w:t>
      </w:r>
      <w:r>
        <w:t xml:space="preserve"> </w:t>
      </w:r>
      <w:r>
        <w:rPr>
          <w:i/>
          <w:iCs/>
        </w:rPr>
        <w:t xml:space="preserve">pañuruhan</w:t>
      </w:r>
      <w:r>
        <w:t xml:space="preserve">, a nominal derivation from the same base, in</w:t>
      </w:r>
      <w:r>
        <w:t xml:space="preserve"> </w:t>
      </w:r>
      <w:r>
        <w:rPr>
          <w:i/>
          <w:iCs/>
        </w:rPr>
        <w:t xml:space="preserve">Siksa Kandaṅ Karəsian</w:t>
      </w:r>
      <w:r>
        <w:t xml:space="preserve"> </w:t>
      </w:r>
      <w:r>
        <w:t xml:space="preserve">6:</w:t>
      </w:r>
      <w:r>
        <w:t xml:space="preserve"> </w:t>
      </w:r>
      <w:r>
        <w:rPr>
          <w:i/>
          <w:iCs/>
        </w:rPr>
        <w:t xml:space="preserve">jaga raṅ kəna pañuruhan, mulah mo raksa saṅ hyaṅ siksa kandaṅ karəsian, pakən uraṅ satya di pivaraṅan</w:t>
      </w:r>
      <w:r>
        <w:t xml:space="preserve"> </w:t>
      </w:r>
      <w:r>
        <w:t xml:space="preserve">“If one has been given the order, one shall not fail to guard the holy precepts from the ascetic milieu, so that one is faithful doing the service”.</w:t>
      </w:r>
    </w:p>
    <w:p>
      <w:pPr>
        <w:pStyle w:val="BodyText"/>
      </w:pPr>
      <w:r>
        <w:rPr>
          <w:rStyle w:val="ColorGray"/>
        </w:rPr>
        <w:t xml:space="preserve">⟨7–8⟩</w:t>
      </w:r>
      <w:r>
        <w:t xml:space="preserve"> </w:t>
      </w:r>
      <w:r>
        <w:rPr>
          <w:i/>
          <w:iCs/>
        </w:rPr>
        <w:t xml:space="preserve">suklajati</w:t>
      </w:r>
      <w:r>
        <w:t xml:space="preserve"> </w:t>
      </w:r>
      <w:r>
        <w:t xml:space="preserve">◇</w:t>
      </w:r>
      <w:r>
        <w:t xml:space="preserve"> </w:t>
      </w:r>
      <w:r>
        <w:rPr>
          <w:i/>
          <w:iCs/>
        </w:rPr>
        <w:t xml:space="preserve">Tutur Bvana</w:t>
      </w:r>
      <w:r>
        <w:t xml:space="preserve"> </w:t>
      </w:r>
      <w:r>
        <w:t xml:space="preserve">9v contains a dialogue between Kala and Darmajati. Kala asks:</w:t>
      </w:r>
      <w:r>
        <w:t xml:space="preserve"> </w:t>
      </w:r>
      <w:r>
        <w:rPr>
          <w:i/>
          <w:iCs/>
        </w:rPr>
        <w:t xml:space="preserve">lamun aya viku haji putih suklajati, tərus ajñana, viku vruh tan paguru, viku bataṅ tan pamitra [...]</w:t>
      </w:r>
      <w:r>
        <w:t xml:space="preserve"> </w:t>
      </w:r>
      <w:r>
        <w:t xml:space="preserve">“[I wonder] if there is a royal hermit Suklajati, whose knowledge is penetrating, a hermit who knows without being taught, a solitary hermit without companions?” Then Darmajati replies:</w:t>
      </w:r>
      <w:r>
        <w:t xml:space="preserve"> </w:t>
      </w:r>
      <w:r>
        <w:rPr>
          <w:i/>
          <w:iCs/>
        </w:rPr>
        <w:t xml:space="preserve">oh aya anakiṅ, viku haji putih suklajati, ratu jadi maṅuyu</w:t>
      </w:r>
      <w:r>
        <w:t xml:space="preserve"> </w:t>
      </w:r>
      <w:r>
        <w:t xml:space="preserve">“He exists, my child, the white royal hermit Suklajati, the king who became an ascetic”. Could there be a connection with the</w:t>
      </w:r>
      <w:r>
        <w:t xml:space="preserve"> </w:t>
      </w:r>
      <w:r>
        <w:rPr>
          <w:i/>
          <w:iCs/>
        </w:rPr>
        <w:t xml:space="preserve">śuklabrahmacāri</w:t>
      </w:r>
      <w:r>
        <w:t xml:space="preserve"> </w:t>
      </w:r>
      <w:r>
        <w:t xml:space="preserve">discussed in some Old Javanese treatises transmitted on Bali? Cf.</w:t>
      </w:r>
      <w:r>
        <w:t xml:space="preserve"> </w:t>
      </w:r>
      <w:r>
        <w:rPr>
          <w:i/>
          <w:iCs/>
        </w:rPr>
        <w:t xml:space="preserve">Ślokāntara</w:t>
      </w:r>
      <w:r>
        <w:t xml:space="preserve"> </w:t>
      </w:r>
      <w:r>
        <w:t xml:space="preserve">1.5</w:t>
      </w:r>
      <w:r>
        <w:t xml:space="preserve"> </w:t>
      </w:r>
      <w:r>
        <w:rPr>
          <w:i/>
          <w:iCs/>
        </w:rPr>
        <w:t xml:space="preserve">śuklabrahmacāri ṅaranira, tan parabi saṅkan rare, tan mañju tan kumiṅ sira, adyapi təka riṅ vr̥ddha tuvi sira tan paṅucap arabi saṅka pisan</w:t>
      </w:r>
      <w:r>
        <w:t xml:space="preserve"> </w:t>
      </w:r>
      <w:r>
        <w:t xml:space="preserve">“Śuklabrahmacārī is one who has not married since childhood. He is neither averse nor impotent. Even when he comes to old age, he does not marry. He does not talk to women even once” (ed. and trans.</w:t>
      </w:r>
      <w:r>
        <w:t xml:space="preserve"> </w:t>
      </w:r>
      <w:hyperlink r:id="rId12">
        <w:r>
          <w:rPr>
            <w:rStyle w:val="Hyperlink"/>
          </w:rPr>
          <w:t xml:space="preserve">Sharada Rani 1957</w:t>
        </w:r>
      </w:hyperlink>
      <w:r>
        <w:t xml:space="preserve">, pp. 35, 76). If so, the</w:t>
      </w:r>
      <w:r>
        <w:t xml:space="preserve"> </w:t>
      </w:r>
      <w:r>
        <w:rPr>
          <w:i/>
          <w:iCs/>
        </w:rPr>
        <w:t xml:space="preserve">disi suklajati</w:t>
      </w:r>
      <w:r>
        <w:t xml:space="preserve"> </w:t>
      </w:r>
      <w:r>
        <w:t xml:space="preserve">would have been a celibate ritual practitioner.</w:t>
      </w:r>
    </w:p>
    <w:p>
      <w:pPr>
        <w:pStyle w:val="BodyText"/>
      </w:pPr>
      <w:r>
        <w:rPr>
          <w:rStyle w:val="ColorGray"/>
        </w:rPr>
        <w:t xml:space="preserve">⟨8⟩</w:t>
      </w:r>
      <w:r>
        <w:t xml:space="preserve"> </w:t>
      </w:r>
      <w:r>
        <w:rPr>
          <w:i/>
          <w:iCs/>
        </w:rPr>
        <w:t xml:space="preserve">ṅarəbuhkən</w:t>
      </w:r>
      <w:r>
        <w:t xml:space="preserve"> </w:t>
      </w:r>
      <w:r>
        <w:t xml:space="preserve">◇ This must be connected with</w:t>
      </w:r>
      <w:r>
        <w:t xml:space="preserve"> </w:t>
      </w:r>
      <w:r>
        <w:rPr>
          <w:i/>
          <w:iCs/>
        </w:rPr>
        <w:t xml:space="preserve">rubuh</w:t>
      </w:r>
      <w:r>
        <w:t xml:space="preserve">/</w:t>
      </w:r>
      <w:r>
        <w:rPr>
          <w:i/>
          <w:iCs/>
        </w:rPr>
        <w:t xml:space="preserve">roboh</w:t>
      </w:r>
      <w:r>
        <w:t xml:space="preserve"> </w:t>
      </w:r>
      <w:r>
        <w:t xml:space="preserve">in Modern Sundanese, Old Javanese and Malay. Cf. also rəbah in Old Sundanese and Old Javanese.</w:t>
      </w:r>
    </w:p>
    <w:p>
      <w:pPr>
        <w:pStyle w:val="BodyText"/>
      </w:pPr>
      <w:r>
        <w:rPr>
          <w:rStyle w:val="ColorGray"/>
        </w:rPr>
        <w:t xml:space="preserve">⟨9⟩</w:t>
      </w:r>
      <w:r>
        <w:t xml:space="preserve"> </w:t>
      </w:r>
      <w:r>
        <w:rPr>
          <w:i/>
          <w:iCs/>
        </w:rPr>
        <w:t xml:space="preserve">kayu si pr̥ndakaḥ</w:t>
      </w:r>
      <w:r>
        <w:t xml:space="preserve"> </w:t>
      </w:r>
      <w:r>
        <w:t xml:space="preserve">◇ The reading</w:t>
      </w:r>
      <w:r>
        <w:t xml:space="preserve"> </w:t>
      </w:r>
      <w:r>
        <w:rPr>
          <w:i/>
          <w:iCs/>
        </w:rPr>
        <w:t xml:space="preserve">pr̥‹n›dakaḥ</w:t>
      </w:r>
      <w:r>
        <w:t xml:space="preserve"> </w:t>
      </w:r>
      <w:r>
        <w:t xml:space="preserve">can be interpreted as equivalent to</w:t>
      </w:r>
      <w:r>
        <w:t xml:space="preserve"> </w:t>
      </w:r>
      <w:r>
        <w:rPr>
          <w:i/>
          <w:iCs/>
        </w:rPr>
        <w:t xml:space="preserve">prandakah</w:t>
      </w:r>
      <w:r>
        <w:t xml:space="preserve">, since</w:t>
      </w:r>
      <w:r>
        <w:t xml:space="preserve"> </w:t>
      </w:r>
      <w:r>
        <w:rPr>
          <w:i/>
          <w:iCs/>
        </w:rPr>
        <w:t xml:space="preserve">-r̥</w:t>
      </w:r>
      <w:r>
        <w:t xml:space="preserve"> </w:t>
      </w:r>
      <w:r>
        <w:t xml:space="preserve">is interchangeable with</w:t>
      </w:r>
      <w:r>
        <w:t xml:space="preserve"> </w:t>
      </w:r>
      <w:r>
        <w:rPr>
          <w:i/>
          <w:iCs/>
        </w:rPr>
        <w:t xml:space="preserve">panyakra</w:t>
      </w:r>
      <w:r>
        <w:t xml:space="preserve"> </w:t>
      </w:r>
      <w:r>
        <w:t xml:space="preserve">in the writing system of West Javanese manuscripts, especially on gebang (e.g.,</w:t>
      </w:r>
      <w:r>
        <w:t xml:space="preserve"> </w:t>
      </w:r>
      <w:r>
        <w:rPr>
          <w:i/>
          <w:iCs/>
        </w:rPr>
        <w:t xml:space="preserve">ciḍr̥</w:t>
      </w:r>
      <w:r>
        <w:t xml:space="preserve"> </w:t>
      </w:r>
      <w:r>
        <w:t xml:space="preserve">for</w:t>
      </w:r>
      <w:r>
        <w:t xml:space="preserve"> </w:t>
      </w:r>
      <w:r>
        <w:rPr>
          <w:i/>
          <w:iCs/>
        </w:rPr>
        <w:t xml:space="preserve">cidra</w:t>
      </w:r>
      <w:r>
        <w:t xml:space="preserve">, Perpusnas L 642 fol. 8v1). The spelling</w:t>
      </w:r>
      <w:r>
        <w:t xml:space="preserve"> </w:t>
      </w:r>
      <w:r>
        <w:rPr>
          <w:i/>
          <w:iCs/>
        </w:rPr>
        <w:t xml:space="preserve">paR̥bu</w:t>
      </w:r>
      <w:r>
        <w:t xml:space="preserve"> </w:t>
      </w:r>
      <w:r>
        <w:t xml:space="preserve">for</w:t>
      </w:r>
      <w:r>
        <w:t xml:space="preserve"> </w:t>
      </w:r>
      <w:r>
        <w:rPr>
          <w:i/>
          <w:iCs/>
        </w:rPr>
        <w:t xml:space="preserve">prabu</w:t>
      </w:r>
      <w:r>
        <w:t xml:space="preserve"> </w:t>
      </w:r>
      <w:r>
        <w:t xml:space="preserve">in Kawa1a.3 shows the reverse phenomenon. The word</w:t>
      </w:r>
      <w:r>
        <w:t xml:space="preserve"> </w:t>
      </w:r>
      <w:r>
        <w:rPr>
          <w:i/>
          <w:iCs/>
        </w:rPr>
        <w:t xml:space="preserve">prandakah</w:t>
      </w:r>
      <w:r>
        <w:t xml:space="preserve"> </w:t>
      </w:r>
      <w:r>
        <w:t xml:space="preserve">can then be interpreted as equivalent to</w:t>
      </w:r>
      <w:r>
        <w:t xml:space="preserve"> </w:t>
      </w:r>
      <w:r>
        <w:rPr>
          <w:i/>
          <w:iCs/>
        </w:rPr>
        <w:t xml:space="preserve">parandakah</w:t>
      </w:r>
      <w:r>
        <w:t xml:space="preserve">, i.e. a</w:t>
      </w:r>
      <w:r>
        <w:t xml:space="preserve"> </w:t>
      </w:r>
      <w:r>
        <w:rPr>
          <w:i/>
          <w:iCs/>
        </w:rPr>
        <w:t xml:space="preserve">pa-</w:t>
      </w:r>
      <w:r>
        <w:t xml:space="preserve"> </w:t>
      </w:r>
      <w:r>
        <w:t xml:space="preserve">derivation from the base</w:t>
      </w:r>
      <w:r>
        <w:t xml:space="preserve"> </w:t>
      </w:r>
      <w:r>
        <w:rPr>
          <w:i/>
          <w:iCs/>
        </w:rPr>
        <w:t xml:space="preserve">randakah</w:t>
      </w:r>
      <w:r>
        <w:t xml:space="preserve"> </w:t>
      </w:r>
      <w:r>
        <w:t xml:space="preserve">that means “spread out widely, branch off widely (of a tree, deer antlers)” in MdS.</w:t>
      </w:r>
    </w:p>
    <w:p>
      <w:pPr>
        <w:pStyle w:val="BodyText"/>
      </w:pPr>
      <w:r>
        <w:rPr>
          <w:rStyle w:val="ColorGray"/>
        </w:rPr>
        <w:t xml:space="preserve">⟨9⟩</w:t>
      </w:r>
      <w:r>
        <w:t xml:space="preserve"> </w:t>
      </w:r>
      <w:r>
        <w:rPr>
          <w:i/>
          <w:iCs/>
        </w:rPr>
        <w:t xml:space="preserve">ṅalaAn</w:t>
      </w:r>
      <w:r>
        <w:t xml:space="preserve"> </w:t>
      </w:r>
      <w:r>
        <w:t xml:space="preserve">◇ On the relation between this word and Kala, who figures in line 11 of our inscription, cf.</w:t>
      </w:r>
      <w:r>
        <w:t xml:space="preserve"> </w:t>
      </w:r>
      <w:r>
        <w:rPr>
          <w:i/>
          <w:iCs/>
        </w:rPr>
        <w:t xml:space="preserve">Sevaka Darma</w:t>
      </w:r>
      <w:r>
        <w:t xml:space="preserve"> </w:t>
      </w:r>
      <w:r>
        <w:t xml:space="preserve">18:</w:t>
      </w:r>
      <w:r>
        <w:t xml:space="preserve"> </w:t>
      </w:r>
      <w:r>
        <w:rPr>
          <w:i/>
          <w:iCs/>
        </w:rPr>
        <w:t xml:space="preserve">madəman kalavisaya, ṅalaan kala murka, ṅaləbur dudu ti⟨m⟩buru</w:t>
      </w:r>
      <w:r>
        <w:t xml:space="preserve"> </w:t>
      </w:r>
      <w:r>
        <w:t xml:space="preserve">“to extinguish the power of Kala, to remove the evil Kala, to dissolve fault and envy”.</w:t>
      </w:r>
    </w:p>
    <w:p>
      <w:pPr>
        <w:pStyle w:val="BodyText"/>
      </w:pPr>
      <w:r>
        <w:rPr>
          <w:rStyle w:val="ColorGray"/>
        </w:rPr>
        <w:t xml:space="preserve">⟨10⟩</w:t>
      </w:r>
      <w:r>
        <w:t xml:space="preserve"> </w:t>
      </w:r>
      <w:r>
        <w:rPr>
          <w:i/>
          <w:iCs/>
        </w:rPr>
        <w:t xml:space="preserve">Udubasu</w:t>
      </w:r>
      <w:r>
        <w:t xml:space="preserve"> </w:t>
      </w:r>
      <w:r>
        <w:t xml:space="preserve">◇ Cf.</w:t>
      </w:r>
      <w:r>
        <w:t xml:space="preserve"> </w:t>
      </w:r>
      <w:r>
        <w:rPr>
          <w:i/>
          <w:iCs/>
        </w:rPr>
        <w:t xml:space="preserve">Svavar Cinta</w:t>
      </w:r>
      <w:r>
        <w:t xml:space="preserve"> </w:t>
      </w:r>
      <w:r>
        <w:t xml:space="preserve">28v. In Old Javanese contexts, this figure is called Vudubasu. See</w:t>
      </w:r>
      <w:r>
        <w:t xml:space="preserve"> </w:t>
      </w:r>
      <w:r>
        <w:rPr>
          <w:i/>
          <w:iCs/>
        </w:rPr>
        <w:t xml:space="preserve">Pārthayajña</w:t>
      </w:r>
      <w:r>
        <w:t xml:space="preserve"> </w:t>
      </w:r>
      <w:r>
        <w:t xml:space="preserve">40.8 as cited in OJED (</w:t>
      </w:r>
      <w:hyperlink r:id="rId13">
        <w:r>
          <w:rPr>
            <w:rStyle w:val="Hyperlink"/>
          </w:rPr>
          <w:t xml:space="preserve">1982</w:t>
        </w:r>
      </w:hyperlink>
      <w:r>
        <w:t xml:space="preserve">, s.v. wudubasu):</w:t>
      </w:r>
      <w:r>
        <w:t xml:space="preserve"> </w:t>
      </w:r>
      <w:r>
        <w:rPr>
          <w:i/>
          <w:iCs/>
        </w:rPr>
        <w:t xml:space="preserve">ndak ajar putuṅku ri katattvan iṅ kurukula, ya dumehnya durjana kalā manahnya yan ala, dadiniṅ surākala lavannikaṅ vudubasu</w:t>
      </w:r>
      <w:r>
        <w:t xml:space="preserve"> </w:t>
      </w:r>
      <w:r>
        <w:t xml:space="preserve">“I will tell you, my grandchild, about the reality of Kuru race, the reason that they became malicious Kāla. When their minds are evil, they are becoming Surākala and Udubasu.”</w:t>
      </w:r>
    </w:p>
    <w:p>
      <w:pPr>
        <w:pStyle w:val="BodyText"/>
      </w:pPr>
      <w:r>
        <w:rPr>
          <w:rStyle w:val="ColorGray"/>
        </w:rPr>
        <w:t xml:space="preserve">⟨10⟩</w:t>
      </w:r>
      <w:r>
        <w:t xml:space="preserve"> </w:t>
      </w:r>
      <w:r>
        <w:rPr>
          <w:i/>
          <w:iCs/>
        </w:rPr>
        <w:t xml:space="preserve">kala</w:t>
      </w:r>
      <w:r>
        <w:t xml:space="preserve"> </w:t>
      </w:r>
      <w:r>
        <w:t xml:space="preserve">◇ According to HD, the text is not completely preserved and after the word</w:t>
      </w:r>
      <w:r>
        <w:t xml:space="preserve"> </w:t>
      </w:r>
      <w:r>
        <w:rPr>
          <w:i/>
          <w:iCs/>
        </w:rPr>
        <w:t xml:space="preserve">kala</w:t>
      </w:r>
      <w:r>
        <w:t xml:space="preserve">, which he presumes means “time”, an expression of date would follow. Our analysis shows that Kala here means the evil god of that name, and inspection of the stone gives no reason to suspect loss of any text after it. Moreover, several occurrences in Old Sundanese and Old Javanese literature mention Udubasu and Kāla in the same context.</w:t>
      </w:r>
    </w:p>
    <w:p>
      <w:pPr>
        <w:pStyle w:val="Heading1"/>
      </w:pPr>
      <w:r>
        <w:t xml:space="preserve">Bibliography</w:t>
      </w:r>
    </w:p>
    <w:p>
      <w:pPr>
        <w:pStyle w:val="FirstParagraph"/>
      </w:pPr>
      <w:r>
        <w:t xml:space="preserve">The inscription was first discovered in the early 1990s (Tony Djubiantono 1994) and first published by Hasan Djafar (1991, pp. 28–29 and 1994). The last mentioned publication contains an eye-copy. There is no translation available until now. A photo of the stone was published in SNI ed. 2008, p. 380 . We visited the site in June and September 2013, and during our second visit were able to make two estampages which are now part of the EFEO collection in Paris (inventory numbers n. 2309 and n. 2310). Re-edited here by Aditia Gunawan &amp; Arlo Griffiths, using Hasan Djafar’s eye-copy and comparing it first with the photos we had taken of the original, and subsequently we reverified our reading based on the EFEO estampages.</w:t>
      </w:r>
    </w:p>
    <w:p>
      <w:pPr>
        <w:pStyle w:val="Heading2"/>
      </w:pPr>
      <w:r>
        <w:t xml:space="preserve">Primary</w:t>
      </w:r>
    </w:p>
    <w:p>
      <w:pPr>
        <w:pStyle w:val="FirstParagraph"/>
      </w:pPr>
      <w:r>
        <w:t xml:space="preserve">Hasan Djafar. 1991. “Prasasti-prasasti dari masa kerajaan-kerajaan Sunda.” In:</w:t>
      </w:r>
      <w:r>
        <w:t xml:space="preserve"> </w:t>
      </w:r>
      <w:r>
        <w:rPr>
          <w:i/>
          <w:iCs/>
        </w:rPr>
        <w:t xml:space="preserve">Seminar nasional sastra dan sejarah Pakuan Pajajaran: Proceedings</w:t>
      </w:r>
      <w:r>
        <w:t xml:space="preserve">. Bogor: Universitas Pakuan Bogor dan Yayasan Pembangunan Jawa Barat, pp. 1–35. Pages 28–29.</w:t>
      </w:r>
    </w:p>
    <w:p>
      <w:pPr>
        <w:pStyle w:val="BodyText"/>
      </w:pPr>
      <w:r>
        <w:rPr>
          <w:b/>
          <w:bCs/>
        </w:rPr>
        <w:t xml:space="preserve">[HD]</w:t>
      </w:r>
      <w:r>
        <w:t xml:space="preserve"> </w:t>
      </w:r>
      <w:r>
        <w:t xml:space="preserve">Hasan Djafar. 1994. “Prasasti Huludayeuh.” BA(Y) 14 (Edisi Khusus), pp. 197–202.</w:t>
      </w:r>
    </w:p>
    <w:p>
      <w:pPr>
        <w:pStyle w:val="Heading2"/>
      </w:pPr>
      <w:r>
        <w:t xml:space="preserve">Secondary</w:t>
      </w:r>
    </w:p>
    <w:p>
      <w:pPr>
        <w:pStyle w:val="FirstParagraph"/>
      </w:pPr>
      <w:r>
        <w:t xml:space="preserve">Tony Djubiantono. 1994. “Studi geomorfologi atas situs Huludayeuh dan Gunung Singkil di kabupaten Cirebon, Jawa Barat.” JBAB 1, pp. 59–66.</w:t>
      </w:r>
    </w:p>
    <w:sectPr>
      <w:footnotePr>
        <w:numFmt w:val="decimal"/>
        <w:numRestart w:val="eachSect"/>
      </w:footnotePr>
      <w:type w:val="nextPage"/>
      <w:pgSz w:h="15840" w:w="12240"/>
      <w:pgMar w:bottom="1440" w:footer="0" w:gutter="0" w:header="0" w:left="1440" w:right="1440" w:top="1440"/>
      <w:pgNumType w:fmt="decimal"/>
      <w:formProt w:val="false"/>
      <w:textDirection w:val="lrTb"/>
      <w:docGrid w:charSpace="0" w:linePitch="100" w:type="default"/>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auto"/>
    <w:pitch w:val="default"/>
  </w:font>
  <w:font w:name="Gentium">
    <w:charset w:val="01"/>
    <w:family w:val="auto"/>
    <w:pitch w:val="default"/>
  </w:font>
  <w:font w:name="Aptos Display">
    <w:charset w:val="01"/>
    <w:family w:val="auto"/>
    <w:pitch w:val="default"/>
  </w:font>
  <w:font w:name="Consolas">
    <w:charset w:val="01"/>
    <w:family w:val="auto"/>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c="http://schemas.openxmlformats.org/markup-compatibility/2006" xmlns:o="urn:schemas-microsoft-com:office:office" xmlns:r="http://schemas.openxmlformats.org/officeDocument/2006/relationships" xmlns:v="urn:schemas-microsoft-com:vml" xmlns:w="http://schemas.openxmlformats.org/wordprocessingml/2006/main" xmlns:w14="http://schemas.microsoft.com/office/word/2010/wordml" mc:Ignorable="w14">
  <w:abstractNum w:abstractNumId="1">
    <w:lvl w:ilvl="0">
      <w:start w:val="1"/>
      <w:numFmt w:val="none"/>
      <w:suff w:val="nothing"/>
      <w:lvlText w:val=""/>
      <w:lvlJc w:val="left"/>
      <w:pPr>
        <w:tabs>
          <w:tab w:pos="0" w:val="num"/>
        </w:tabs>
        <w:ind w:hanging="0" w:left="0"/>
      </w:pPr>
      <w:rPr/>
    </w:lvl>
    <w:lvl w:ilvl="1">
      <w:start w:val="1"/>
      <w:numFmt w:val="none"/>
      <w:suff w:val="nothing"/>
      <w:lvlText w:val=""/>
      <w:lvlJc w:val="left"/>
      <w:pPr>
        <w:tabs>
          <w:tab w:pos="0" w:val="num"/>
        </w:tabs>
        <w:ind w:hanging="0" w:left="0"/>
      </w:pPr>
      <w:rPr/>
    </w:lvl>
    <w:lvl w:ilvl="2">
      <w:start w:val="1"/>
      <w:numFmt w:val="none"/>
      <w:suff w:val="nothing"/>
      <w:lvlText w:val=""/>
      <w:lvlJc w:val="left"/>
      <w:pPr>
        <w:tabs>
          <w:tab w:pos="0" w:val="num"/>
        </w:tabs>
        <w:ind w:hanging="0" w:left="0"/>
      </w:pPr>
      <w:rPr/>
    </w:lvl>
    <w:lvl w:ilvl="3">
      <w:start w:val="1"/>
      <w:numFmt w:val="none"/>
      <w:suff w:val="nothing"/>
      <w:lvlText w:val=""/>
      <w:lvlJc w:val="left"/>
      <w:pPr>
        <w:tabs>
          <w:tab w:pos="0" w:val="num"/>
        </w:tabs>
        <w:ind w:hanging="0" w:left="0"/>
      </w:pPr>
      <w:rPr/>
    </w:lvl>
    <w:lvl w:ilvl="4">
      <w:start w:val="1"/>
      <w:numFmt w:val="none"/>
      <w:suff w:val="nothing"/>
      <w:lvlText w:val=""/>
      <w:lvlJc w:val="left"/>
      <w:pPr>
        <w:tabs>
          <w:tab w:pos="0" w:val="num"/>
        </w:tabs>
        <w:ind w:hanging="0" w:left="0"/>
      </w:pPr>
      <w:rPr/>
    </w:lvl>
    <w:lvl w:ilvl="5">
      <w:start w:val="1"/>
      <w:numFmt w:val="none"/>
      <w:suff w:val="nothing"/>
      <w:lvlText w:val=""/>
      <w:lvlJc w:val="left"/>
      <w:pPr>
        <w:tabs>
          <w:tab w:pos="0" w:val="num"/>
        </w:tabs>
        <w:ind w:hanging="0" w:left="0"/>
      </w:pPr>
      <w:rPr/>
    </w:lvl>
    <w:lvl w:ilvl="6">
      <w:start w:val="1"/>
      <w:numFmt w:val="none"/>
      <w:suff w:val="nothing"/>
      <w:lvlText w:val=""/>
      <w:lvlJc w:val="left"/>
      <w:pPr>
        <w:tabs>
          <w:tab w:pos="0" w:val="num"/>
        </w:tabs>
        <w:ind w:hanging="0" w:left="0"/>
      </w:pPr>
      <w:rPr/>
    </w:lvl>
    <w:lvl w:ilvl="7">
      <w:start w:val="1"/>
      <w:numFmt w:val="none"/>
      <w:suff w:val="nothing"/>
      <w:lvlText w:val=""/>
      <w:lvlJc w:val="left"/>
      <w:pPr>
        <w:tabs>
          <w:tab w:pos="0" w:val="num"/>
        </w:tabs>
        <w:ind w:hanging="0" w:left="0"/>
      </w:pPr>
      <w:rPr/>
    </w:lvl>
    <w:lvl w:ilvl="8">
      <w:start w:val="1"/>
      <w:numFmt w:val="none"/>
      <w:suff w:val="nothing"/>
      <w:lvlText w:val=""/>
      <w:lvlJc w:val="left"/>
      <w:pPr>
        <w:tabs>
          <w:tab w:pos="0" w:val="num"/>
        </w:tabs>
        <w:ind w:hanging="0" w:left="0"/>
      </w:pPr>
      <w:rPr/>
    </w:lvl>
  </w:abstractNum>
  <w:abstractNum w:abstractNumId="2">
    <w:lvl w:ilvl="0">
      <w:start w:val="1"/>
      <w:numFmt w:val="none"/>
      <w:suff w:val="nothing"/>
      <w:lvlText w:val=""/>
      <w:lvlJc w:val="left"/>
      <w:pPr>
        <w:tabs>
          <w:tab w:pos="0" w:val="num"/>
        </w:tabs>
        <w:ind w:hanging="0" w:left="0"/>
      </w:pPr>
    </w:lvl>
    <w:lvl w:ilvl="1">
      <w:start w:val="1"/>
      <w:numFmt w:val="none"/>
      <w:suff w:val="nothing"/>
      <w:lvlText w:val=""/>
      <w:lvlJc w:val="left"/>
      <w:pPr>
        <w:tabs>
          <w:tab w:pos="0" w:val="num"/>
        </w:tabs>
        <w:ind w:hanging="0" w:left="0"/>
      </w:pPr>
    </w:lvl>
    <w:lvl w:ilvl="2">
      <w:start w:val="1"/>
      <w:numFmt w:val="none"/>
      <w:suff w:val="nothing"/>
      <w:lvlText w:val=""/>
      <w:lvlJc w:val="left"/>
      <w:pPr>
        <w:tabs>
          <w:tab w:pos="0" w:val="num"/>
        </w:tabs>
        <w:ind w:hanging="0" w:left="0"/>
      </w:pPr>
    </w:lvl>
    <w:lvl w:ilvl="3">
      <w:start w:val="1"/>
      <w:numFmt w:val="none"/>
      <w:suff w:val="nothing"/>
      <w:lvlText w:val=""/>
      <w:lvlJc w:val="left"/>
      <w:pPr>
        <w:tabs>
          <w:tab w:pos="0" w:val="num"/>
        </w:tabs>
        <w:ind w:hanging="0" w:left="0"/>
      </w:pPr>
    </w:lvl>
    <w:lvl w:ilvl="4">
      <w:start w:val="1"/>
      <w:numFmt w:val="none"/>
      <w:suff w:val="nothing"/>
      <w:lvlText w:val=""/>
      <w:lvlJc w:val="left"/>
      <w:pPr>
        <w:tabs>
          <w:tab w:pos="0" w:val="num"/>
        </w:tabs>
        <w:ind w:hanging="0" w:left="0"/>
      </w:pPr>
    </w:lvl>
    <w:lvl w:ilvl="5">
      <w:start w:val="1"/>
      <w:numFmt w:val="none"/>
      <w:suff w:val="nothing"/>
      <w:lvlText w:val=""/>
      <w:lvlJc w:val="left"/>
      <w:pPr>
        <w:tabs>
          <w:tab w:pos="0" w:val="num"/>
        </w:tabs>
        <w:ind w:hanging="0" w:left="0"/>
      </w:pPr>
    </w:lvl>
    <w:lvl w:ilvl="6">
      <w:start w:val="1"/>
      <w:numFmt w:val="none"/>
      <w:suff w:val="nothing"/>
      <w:lvlText w:val=""/>
      <w:lvlJc w:val="left"/>
      <w:pPr>
        <w:tabs>
          <w:tab w:pos="0" w:val="num"/>
        </w:tabs>
        <w:ind w:hanging="0" w:left="0"/>
      </w:pPr>
    </w:lvl>
    <w:lvl w:ilvl="7">
      <w:start w:val="1"/>
      <w:numFmt w:val="none"/>
      <w:suff w:val="nothing"/>
      <w:lvlText w:val=""/>
      <w:lvlJc w:val="left"/>
      <w:pPr>
        <w:tabs>
          <w:tab w:pos="0" w:val="num"/>
        </w:tabs>
        <w:ind w:hanging="0" w:left="0"/>
      </w:pPr>
    </w:lvl>
    <w:lvl w:ilvl="8">
      <w:start w:val="1"/>
      <w:numFmt w:val="none"/>
      <w:suff w:val="nothing"/>
      <w:lvlText w:val=""/>
      <w:lvlJc w:val="left"/>
      <w:pPr>
        <w:tabs>
          <w:tab w:pos="0" w:val="num"/>
        </w:tabs>
        <w:ind w:hanging="0" w:left="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abstractNumId w:val="1"/>
  </w:num>
  <w:num w:numId="2">
    <w:abstractNumId w:val="2"/>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5"/>
  <w:embedSystemFonts/>
  <w:proofState w:grammar="clean" w:spelling="clean"/>
  <w:stylePaneFormatFilter w:val="0004"/>
  <w:doNotTrackMoves/>
  <w:defaultTabStop w:val="720"/>
  <w:autoHyphenation w:val="true"/>
  <w:hyphenationZone w:val="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2"/>
  </w:compat>
  <w:rsids>
  </w:rsids>
  <w:themeFontLang w:bidi="" w:eastAsia=""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ptos" w:asciiTheme="minorHAnsi" w:cs="" w:cstheme="minorBidi" w:eastAsia="Aptos" w:eastAsiaTheme="minorHAnsi" w:hAnsi="Aptos" w:hAnsiTheme="minorHAnsi"/>
        <w:sz w:val="24"/>
        <w:szCs w:val="24"/>
        <w:lang w:bidi="ar-SA" w:eastAsia="en-US" w:val="en-US"/>
      </w:rPr>
    </w:rPrDefault>
    <w:pPrDefault>
      <w:pPr>
        <w:suppressAutoHyphens w:val="true"/>
      </w:pPr>
    </w:pPrDefault>
  </w:docDefaults>
  <w:latentStyles w:count="276" w:defLockedState="0" w:defQFormat="0" w:defSemiHidden="0" w:defUIPriority="0" w:defUnhideWhenUsed="0"/>
  <w:style w:default="1" w:styleId="Normal" w:type="paragraph">
    <w:name w:val="Normal"/>
    <w:qFormat/>
    <w:pPr>
      <w:widowControl/>
      <w:suppressAutoHyphens w:val="true"/>
      <w:bidi w:val="0"/>
      <w:spacing w:after="200" w:before="0" w:line="276" w:lineRule="auto"/>
      <w:jc w:val="left"/>
    </w:pPr>
    <w:rPr>
      <w:rFonts w:ascii="Gentium" w:cs="" w:cstheme="minorBidi" w:eastAsia="Aptos" w:eastAsiaTheme="minorHAnsi" w:hAnsi="Gentium"/>
      <w:color w:val="auto"/>
      <w:kern w:val="0"/>
      <w:sz w:val="24"/>
      <w:szCs w:val="24"/>
      <w:lang w:bidi="ar-SA" w:eastAsia="en-US" w:val="en-US"/>
    </w:rPr>
  </w:style>
  <w:style w:styleId="Heading1" w:type="paragraph">
    <w:name w:val="heading 1"/>
    <w:basedOn w:val="Normal"/>
    <w:next w:val="BodyText"/>
    <w:link w:val="Heading1Char"/>
    <w:uiPriority w:val="9"/>
    <w:qFormat/>
    <w:rsid w:val="00a10fd9"/>
    <w:pPr>
      <w:keepNext w:val="true"/>
      <w:keepLines/>
      <w:spacing w:after="80" w:before="360" w:line="240" w:lineRule="auto"/>
      <w:outlineLvl w:val="0"/>
    </w:pPr>
    <w:rPr>
      <w:rFonts w:ascii="Gentium" w:cs="" w:cstheme="majorBidi" w:eastAsia="" w:eastAsiaTheme="majorEastAsia" w:hAnsi="Gentium"/>
      <w:color w:val="auto"/>
      <w:sz w:val="40"/>
      <w:szCs w:val="40"/>
    </w:rPr>
  </w:style>
  <w:style w:styleId="Heading2" w:type="paragraph">
    <w:name w:val="heading 2"/>
    <w:basedOn w:val="Normal"/>
    <w:next w:val="BodyText"/>
    <w:link w:val="Heading2Char"/>
    <w:uiPriority w:val="9"/>
    <w:semiHidden/>
    <w:unhideWhenUsed/>
    <w:qFormat/>
    <w:rsid w:val="00a10fd9"/>
    <w:pPr>
      <w:keepNext w:val="true"/>
      <w:keepLines/>
      <w:spacing w:after="80" w:before="160"/>
      <w:outlineLvl w:val="1"/>
    </w:pPr>
    <w:rPr>
      <w:rFonts w:ascii="Gentium" w:cs="" w:cstheme="majorBidi" w:eastAsia="" w:eastAsiaTheme="majorEastAsia" w:hAnsi="Gentium"/>
      <w:color w:val="000000"/>
      <w:sz w:val="32"/>
      <w:szCs w:val="32"/>
    </w:rPr>
  </w:style>
  <w:style w:styleId="Heading3" w:type="paragraph">
    <w:name w:val="heading 3"/>
    <w:basedOn w:val="Normal"/>
    <w:next w:val="BodyText"/>
    <w:link w:val="Heading3Char"/>
    <w:uiPriority w:val="9"/>
    <w:semiHidden/>
    <w:unhideWhenUsed/>
    <w:qFormat/>
    <w:rsid w:val="00a10fd9"/>
    <w:pPr>
      <w:keepNext w:val="true"/>
      <w:keepLines/>
      <w:spacing w:after="80" w:before="160"/>
      <w:outlineLvl w:val="2"/>
    </w:pPr>
    <w:rPr>
      <w:rFonts w:ascii="Gentium" w:cs="" w:cstheme="majorBidi" w:eastAsia="" w:eastAsiaTheme="majorEastAsia" w:hAnsi="Gentium"/>
      <w:color w:val="000000"/>
      <w:sz w:val="28"/>
      <w:szCs w:val="28"/>
    </w:rPr>
  </w:style>
  <w:style w:styleId="Heading4" w:type="paragraph">
    <w:name w:val="heading 4"/>
    <w:basedOn w:val="Normal"/>
    <w:next w:val="BodyText"/>
    <w:link w:val="Heading4Char"/>
    <w:uiPriority w:val="9"/>
    <w:semiHidden/>
    <w:unhideWhenUsed/>
    <w:qFormat/>
    <w:rsid w:val="00a10fd9"/>
    <w:pPr>
      <w:keepNext w:val="true"/>
      <w:keepLines/>
      <w:spacing w:after="40" w:before="80"/>
      <w:outlineLvl w:val="3"/>
    </w:pPr>
    <w:rPr>
      <w:rFonts w:ascii="Gentium" w:cs="" w:cstheme="majorBidi" w:eastAsia="" w:eastAsiaTheme="majorEastAsia" w:hAnsi="Gentium"/>
      <w:i/>
      <w:iCs/>
      <w:color w:val="000000"/>
    </w:rPr>
  </w:style>
  <w:style w:styleId="Heading5" w:type="paragraph">
    <w:name w:val="heading 5"/>
    <w:basedOn w:val="Normal"/>
    <w:next w:val="BodyText"/>
    <w:link w:val="Heading5Char"/>
    <w:uiPriority w:val="9"/>
    <w:semiHidden/>
    <w:unhideWhenUsed/>
    <w:qFormat/>
    <w:rsid w:val="00a10fd9"/>
    <w:pPr>
      <w:keepNext w:val="true"/>
      <w:keepLines/>
      <w:spacing w:after="40" w:before="80"/>
      <w:outlineLvl w:val="4"/>
    </w:pPr>
    <w:rPr>
      <w:rFonts w:ascii="Gentium" w:cs="" w:cstheme="majorBidi" w:eastAsia="" w:eastAsiaTheme="majorEastAsia" w:hAnsi="Gentium"/>
      <w:color w:val="000000"/>
    </w:rPr>
  </w:style>
  <w:style w:styleId="Heading6" w:type="paragraph">
    <w:name w:val="heading 6"/>
    <w:basedOn w:val="Normal"/>
    <w:next w:val="BodyText"/>
    <w:link w:val="Heading6Char"/>
    <w:uiPriority w:val="9"/>
    <w:semiHidden/>
    <w:unhideWhenUsed/>
    <w:qFormat/>
    <w:rsid w:val="00a10fd9"/>
    <w:pPr>
      <w:keepNext w:val="true"/>
      <w:keepLines/>
      <w:spacing w:after="0" w:before="40"/>
      <w:outlineLvl w:val="5"/>
    </w:pPr>
    <w:rPr>
      <w:rFonts w:ascii="Gentium" w:cs="" w:cstheme="majorBidi" w:eastAsia="" w:eastAsiaTheme="majorEastAsia" w:hAnsi="Gentium"/>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val="true"/>
      <w:keepLines/>
      <w:spacing w:after="0" w:before="40"/>
      <w:outlineLvl w:val="6"/>
    </w:pPr>
    <w:rPr>
      <w:rFonts w:ascii="Gentium" w:cs="" w:cstheme="majorBidi" w:eastAsia="" w:eastAsiaTheme="majorEastAsia" w:hAnsi="Gentium"/>
      <w:color w:themeColor="text1" w:themeTint="a6" w:val="595959"/>
    </w:rPr>
  </w:style>
  <w:style w:styleId="Heading8" w:type="paragraph">
    <w:name w:val="heading 8"/>
    <w:basedOn w:val="Normal"/>
    <w:next w:val="BodyText"/>
    <w:link w:val="Heading8Char"/>
    <w:uiPriority w:val="9"/>
    <w:semiHidden/>
    <w:unhideWhenUsed/>
    <w:qFormat/>
    <w:rsid w:val="00a10fd9"/>
    <w:pPr>
      <w:keepNext w:val="true"/>
      <w:keepLines/>
      <w:spacing w:after="0" w:before="0"/>
      <w:outlineLvl w:val="7"/>
    </w:pPr>
    <w:rPr>
      <w:rFonts w:ascii="Gentium" w:cs="" w:cstheme="majorBidi" w:eastAsia="" w:eastAsiaTheme="majorEastAsia" w:hAnsi="Gentium"/>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val="true"/>
      <w:keepLines/>
      <w:spacing w:after="0" w:before="0"/>
      <w:outlineLvl w:val="8"/>
    </w:pPr>
    <w:rPr>
      <w:rFonts w:ascii="Gentium" w:cs="" w:cstheme="majorBidi" w:eastAsia="" w:eastAsiaTheme="majorEastAsia" w:hAnsi="Gentium"/>
      <w:color w:themeColor="text1" w:themeTint="d8" w:val="272727"/>
    </w:rPr>
  </w:style>
  <w:style w:customStyle="1" w:styleId="TitleChar" w:type="character">
    <w:name w:val="Title Char"/>
    <w:basedOn w:val="DefaultParagraphFont"/>
    <w:link w:val="Title"/>
    <w:uiPriority w:val="10"/>
    <w:qFormat/>
    <w:rsid w:val="00a10fd9"/>
    <w:rPr>
      <w:rFonts w:ascii="Aptos Display" w:asciiTheme="majorHAnsi" w:cs="" w:cstheme="majorBidi" w:eastAsia="" w:eastAsiaTheme="majorEastAsia" w:hAnsi="Aptos Display" w:hAnsiTheme="majorHAnsi"/>
      <w:sz w:val="56"/>
      <w:szCs w:val="56"/>
    </w:rPr>
  </w:style>
  <w:style w:customStyle="1" w:styleId="SubtitleChar" w:type="character">
    <w:name w:val="Subtitle Char"/>
    <w:basedOn w:val="DefaultParagraphFont"/>
    <w:link w:val="Subtitle"/>
    <w:uiPriority w:val="11"/>
    <w:qFormat/>
    <w:rsid w:val="00a10fd9"/>
    <w:rPr>
      <w:rFonts w:cs="" w:cstheme="majorBidi" w:eastAsia="" w:eastAsiaTheme="majorEastAsia"/>
      <w:color w:themeColor="text1" w:themeTint="a6" w:val="595959"/>
      <w:spacing w:val="15"/>
      <w:sz w:val="28"/>
      <w:szCs w:val="28"/>
    </w:rPr>
  </w:style>
  <w:style w:customStyle="1" w:styleId="Heading1Char" w:type="character">
    <w:name w:val="Heading 1 Char"/>
    <w:basedOn w:val="DefaultParagraphFont"/>
    <w:link w:val="Heading1"/>
    <w:uiPriority w:val="9"/>
    <w:qFormat/>
    <w:rsid w:val="00a10fd9"/>
    <w:rPr>
      <w:rFonts w:ascii="Aptos Display" w:asciiTheme="majorHAnsi" w:cs="" w:cstheme="majorBidi" w:eastAsia="" w:eastAsiaTheme="majorEastAsia" w:hAnsi="Aptos Display" w:hAnsiTheme="majorHAnsi"/>
      <w:color w:themeColor="accent1" w:themeShade="bf" w:val="0F4761"/>
      <w:sz w:val="40"/>
      <w:szCs w:val="40"/>
    </w:rPr>
  </w:style>
  <w:style w:customStyle="1" w:styleId="Heading2Char" w:type="character">
    <w:name w:val="Heading 2 Char"/>
    <w:basedOn w:val="DefaultParagraphFont"/>
    <w:link w:val="Heading2"/>
    <w:uiPriority w:val="9"/>
    <w:semiHidden/>
    <w:qFormat/>
    <w:rsid w:val="00a10fd9"/>
    <w:rPr>
      <w:rFonts w:ascii="Aptos Display" w:asciiTheme="majorHAnsi" w:cs="" w:cstheme="majorBidi" w:eastAsia="" w:eastAsiaTheme="majorEastAsia" w:hAnsi="Aptos Display" w:hAnsiTheme="majorHAnsi"/>
      <w:color w:themeColor="accent1" w:themeShade="bf" w:val="0F4761"/>
      <w:sz w:val="32"/>
      <w:szCs w:val="32"/>
    </w:rPr>
  </w:style>
  <w:style w:customStyle="1" w:styleId="Heading3Char" w:type="character">
    <w:name w:val="Heading 3 Char"/>
    <w:basedOn w:val="DefaultParagraphFont"/>
    <w:link w:val="Heading3"/>
    <w:uiPriority w:val="9"/>
    <w:semiHidden/>
    <w:qFormat/>
    <w:rsid w:val="00a10fd9"/>
    <w:rPr>
      <w:rFonts w:cs="" w:cstheme="majorBidi" w:eastAsia=""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qFormat/>
    <w:rsid w:val="00a10fd9"/>
    <w:rPr>
      <w:rFonts w:cs="" w:cstheme="majorBidi" w:eastAsia="" w:eastAsiaTheme="majorEastAsia"/>
      <w:i/>
      <w:iCs/>
      <w:color w:themeColor="accent1" w:themeShade="bf" w:val="0F4761"/>
    </w:rPr>
  </w:style>
  <w:style w:customStyle="1" w:styleId="Heading5Char" w:type="character">
    <w:name w:val="Heading 5 Char"/>
    <w:basedOn w:val="DefaultParagraphFont"/>
    <w:link w:val="Heading5"/>
    <w:uiPriority w:val="9"/>
    <w:semiHidden/>
    <w:qFormat/>
    <w:rsid w:val="00a10fd9"/>
    <w:rPr>
      <w:rFonts w:cs="" w:cstheme="majorBidi" w:eastAsia="" w:eastAsiaTheme="majorEastAsia"/>
      <w:color w:themeColor="accent1" w:themeShade="bf" w:val="0F4761"/>
    </w:rPr>
  </w:style>
  <w:style w:customStyle="1" w:styleId="Heading6Char" w:type="character">
    <w:name w:val="Heading 6 Char"/>
    <w:basedOn w:val="DefaultParagraphFont"/>
    <w:link w:val="Heading6"/>
    <w:uiPriority w:val="9"/>
    <w:semiHidden/>
    <w:qFormat/>
    <w:rsid w:val="00a10fd9"/>
    <w:rPr>
      <w:rFonts w:cs="" w:cstheme="majorBidi" w:eastAsia="" w:eastAsiaTheme="majorEastAsia"/>
      <w:i/>
      <w:iCs/>
      <w:color w:themeColor="text1" w:themeTint="a6" w:val="595959"/>
    </w:rPr>
  </w:style>
  <w:style w:customStyle="1" w:styleId="Heading7Char" w:type="character">
    <w:name w:val="Heading 7 Char"/>
    <w:basedOn w:val="DefaultParagraphFont"/>
    <w:link w:val="Heading7"/>
    <w:uiPriority w:val="9"/>
    <w:semiHidden/>
    <w:qFormat/>
    <w:rsid w:val="00a10fd9"/>
    <w:rPr>
      <w:rFonts w:cs="" w:cstheme="majorBidi" w:eastAsia="" w:eastAsiaTheme="majorEastAsia"/>
      <w:color w:themeColor="text1" w:themeTint="a6" w:val="595959"/>
    </w:rPr>
  </w:style>
  <w:style w:customStyle="1" w:styleId="Heading8Char" w:type="character">
    <w:name w:val="Heading 8 Char"/>
    <w:basedOn w:val="DefaultParagraphFont"/>
    <w:link w:val="Heading8"/>
    <w:uiPriority w:val="9"/>
    <w:semiHidden/>
    <w:qFormat/>
    <w:rsid w:val="00a10fd9"/>
    <w:rPr>
      <w:rFonts w:cs="" w:cstheme="majorBidi" w:eastAsia="" w:eastAsiaTheme="majorEastAsia"/>
      <w:i/>
      <w:iCs/>
      <w:color w:themeColor="text1" w:themeTint="d8" w:val="272727"/>
    </w:rPr>
  </w:style>
  <w:style w:customStyle="1" w:styleId="Heading9Char" w:type="character">
    <w:name w:val="Heading 9 Char"/>
    <w:basedOn w:val="DefaultParagraphFont"/>
    <w:link w:val="Heading9"/>
    <w:uiPriority w:val="9"/>
    <w:semiHidden/>
    <w:qFormat/>
    <w:rsid w:val="00a10fd9"/>
    <w:rPr>
      <w:rFonts w:cs="" w:cstheme="majorBidi" w:eastAsia="" w:eastAsiaTheme="majorEastAsia"/>
      <w:color w:themeColor="text1" w:themeTint="d8" w:val="272727"/>
    </w:rPr>
  </w:style>
  <w:style w:default="1" w:styleId="DefaultParagraphFont" w:type="character">
    <w:name w:val="Default Paragraph Font"/>
    <w:semiHidden/>
    <w:unhideWhenUsed/>
    <w:qFormat/>
    <w:rPr/>
  </w:style>
  <w:style w:customStyle="1" w:styleId="BodyTextChar" w:type="character">
    <w:name w:val="Body Text Char"/>
    <w:basedOn w:val="DefaultParagraphFont"/>
    <w:qFormat/>
    <w:rPr/>
  </w:style>
  <w:style w:customStyle="1" w:styleId="VerbatimChar" w:type="character">
    <w:name w:val="Verbatim Char"/>
    <w:basedOn w:val="BodyTextChar"/>
    <w:qFormat/>
    <w:rPr>
      <w:rFonts w:ascii="Consolas" w:hAnsi="Consolas"/>
      <w:sz w:val="22"/>
    </w:rPr>
  </w:style>
  <w:style w:customStyle="1" w:styleId="SectionNumber" w:type="character">
    <w:name w:val="Section Number"/>
    <w:basedOn w:val="BodyTextChar"/>
    <w:qFormat/>
    <w:rPr/>
  </w:style>
  <w:style w:styleId="FootnoteCharactersuser" w:type="character">
    <w:name w:val="Footnote Characters (user)"/>
    <w:qFormat/>
    <w:rPr>
      <w:vertAlign w:val="superscript"/>
    </w:rPr>
  </w:style>
  <w:style w:styleId="FootnoteCharacters" w:type="character">
    <w:name w:val="Footnote Characters"/>
    <w:qFormat/>
    <w:rPr>
      <w:vertAlign w:val="superscript"/>
    </w:rPr>
  </w:style>
  <w:style w:styleId="FootnoteReference" w:type="character">
    <w:name w:val="footnote reference"/>
    <w:rPr>
      <w:vertAlign w:val="superscript"/>
    </w:rPr>
  </w:style>
  <w:style w:styleId="Hyperlink" w:type="character">
    <w:name w:val="Hyperlink"/>
    <w:basedOn w:val="BodyTextChar"/>
    <w:rPr>
      <w:color w:themeColor="accent1" w:val="4F81BD"/>
    </w:rPr>
  </w:style>
  <w:style w:styleId="ColorGray" w:type="character">
    <w:name w:val="ColorGray"/>
    <w:basedOn w:val="BodyTextChar"/>
    <w:qFormat/>
    <w:rPr>
      <w:color w:val="666666"/>
    </w:rPr>
  </w:style>
  <w:style w:styleId="ColorGreen" w:type="character">
    <w:name w:val="ColorGreen"/>
    <w:basedOn w:val="DefaultParagraphFont"/>
    <w:qFormat/>
    <w:rPr>
      <w:color w:val="069A2E"/>
    </w:rPr>
  </w:style>
  <w:style w:styleId="ColorBrown" w:type="character">
    <w:name w:val="ColorBrown"/>
    <w:basedOn w:val="ColorGreen"/>
    <w:qFormat/>
    <w:rPr>
      <w:color w:val="784B04"/>
    </w:rPr>
  </w:style>
  <w:style w:styleId="CaptionCharactersuser" w:type="character">
    <w:name w:val="Caption Characters (user)"/>
    <w:qFormat/>
    <w:rPr/>
  </w:style>
  <w:style w:styleId="ColorRed" w:type="character">
    <w:name w:val="ColorRed"/>
    <w:basedOn w:val="CaptionCharactersuser"/>
    <w:qFormat/>
    <w:rPr>
      <w:color w:val="C9211E"/>
    </w:rPr>
  </w:style>
  <w:style w:styleId="ColorMagenta" w:type="character">
    <w:name w:val="ColorMagenta"/>
    <w:basedOn w:val="ColorBrown"/>
    <w:qFormat/>
    <w:rPr>
      <w:color w:val="800080"/>
    </w:rPr>
  </w:style>
  <w:style w:styleId="ColorBlue" w:type="character">
    <w:name w:val="ColorBlue"/>
    <w:basedOn w:val="ColorGray"/>
    <w:qFormat/>
    <w:rPr>
      <w:color w:val="2A6099"/>
    </w:rPr>
  </w:style>
  <w:style w:styleId="ColorBlack" w:type="character">
    <w:name w:val="ColorBlack"/>
    <w:basedOn w:val="ColorBlue"/>
    <w:qFormat/>
    <w:rPr>
      <w:color w:val="000000"/>
    </w:rPr>
  </w:style>
  <w:style w:styleId="EndnoteCharacters" w:type="character">
    <w:name w:val="Endnote Characters"/>
    <w:qFormat/>
    <w:rPr>
      <w:vertAlign w:val="superscript"/>
    </w:rPr>
  </w:style>
  <w:style w:styleId="EndnoteCharactersuser" w:type="character">
    <w:name w:val="Endnote Characters (user)"/>
    <w:qFormat/>
    <w:rPr>
      <w:vertAlign w:val="superscript"/>
    </w:rPr>
  </w:style>
  <w:style w:styleId="EndnoteReference" w:type="character">
    <w:name w:val="endnote reference"/>
    <w:rPr>
      <w:vertAlign w:val="superscript"/>
    </w:rPr>
  </w:style>
  <w:style w:styleId="Heading" w:type="paragraph">
    <w:name w:val="Heading"/>
    <w:basedOn w:val="Normal"/>
    <w:next w:val="BodyText"/>
    <w:qFormat/>
    <w:pPr>
      <w:keepNext w:val="true"/>
      <w:spacing w:after="120" w:before="240"/>
    </w:pPr>
    <w:rPr>
      <w:rFonts w:ascii="Gentium" w:cs="Noto Sans Devanagari" w:eastAsia="Noto Sans CJK SC" w:hAnsi="Gentium"/>
      <w:sz w:val="28"/>
      <w:szCs w:val="28"/>
    </w:rPr>
  </w:style>
  <w:style w:styleId="BodyText" w:type="paragraph">
    <w:name w:val="Body Text"/>
    <w:basedOn w:val="Normal"/>
    <w:link w:val="BodyTextChar"/>
    <w:qFormat/>
    <w:pPr>
      <w:spacing w:after="180" w:before="180" w:line="276" w:lineRule="auto"/>
    </w:pPr>
    <w:rPr>
      <w:rFonts w:ascii="Gentium" w:hAnsi="Gentium"/>
    </w:rPr>
  </w:style>
  <w:style w:styleId="List" w:type="paragraph">
    <w:name w:val="List"/>
    <w:basedOn w:val="BodyText"/>
    <w:pPr/>
    <w:rPr>
      <w:rFonts w:ascii="Gentium" w:cs="Noto Sans Devanagari" w:hAnsi="Gentium"/>
    </w:rPr>
  </w:style>
  <w:style w:styleId="Caption" w:type="paragraph">
    <w:name w:val="caption"/>
    <w:basedOn w:val="Normal"/>
    <w:link w:val="BodyTextChar"/>
    <w:qFormat/>
    <w:pPr>
      <w:spacing w:after="120" w:before="0"/>
    </w:pPr>
    <w:rPr>
      <w:rFonts w:ascii="Gentium" w:hAnsi="Gentium"/>
      <w:i/>
    </w:rPr>
  </w:style>
  <w:style w:styleId="Index" w:type="paragraph">
    <w:name w:val="Index"/>
    <w:basedOn w:val="Normal"/>
    <w:qFormat/>
    <w:pPr>
      <w:suppressLineNumbers/>
    </w:pPr>
    <w:rPr>
      <w:rFonts w:ascii="Gentium" w:cs="Noto Sans Devanagari" w:hAnsi="Gentium"/>
    </w:rPr>
  </w:style>
  <w:style w:customStyle="1" w:styleId="FirstParagraph" w:type="paragraph">
    <w:name w:val="First Paragraph"/>
    <w:basedOn w:val="BodyText"/>
    <w:next w:val="BodyText"/>
    <w:qFormat/>
    <w:pPr>
      <w:spacing w:line="276" w:lineRule="auto"/>
    </w:pPr>
    <w:rPr>
      <w:rFonts w:ascii="Gentium" w:hAnsi="Gentium"/>
    </w:rPr>
  </w:style>
  <w:style w:customStyle="1" w:styleId="Compact" w:type="paragraph">
    <w:name w:val="Compact"/>
    <w:basedOn w:val="BodyText"/>
    <w:qFormat/>
    <w:pPr>
      <w:spacing w:after="36" w:before="36"/>
    </w:pPr>
    <w:rPr/>
  </w:style>
  <w:style w:styleId="Title" w:type="paragraph">
    <w:name w:val="Title"/>
    <w:basedOn w:val="Normal"/>
    <w:next w:val="BodyText"/>
    <w:link w:val="TitleChar"/>
    <w:uiPriority w:val="10"/>
    <w:qFormat/>
    <w:rsid w:val="00a10fd9"/>
    <w:pPr>
      <w:spacing w:after="80" w:before="0" w:line="240" w:lineRule="auto"/>
      <w:contextualSpacing/>
      <w:jc w:val="center"/>
    </w:pPr>
    <w:rPr>
      <w:rFonts w:ascii="Gentium" w:cs="" w:cstheme="majorBidi" w:eastAsia="" w:eastAsiaTheme="majorEastAsia" w:hAnsi="Gentium"/>
      <w:sz w:val="56"/>
      <w:szCs w:val="56"/>
    </w:rPr>
  </w:style>
  <w:style w:styleId="Subtitle" w:type="paragraph">
    <w:name w:val="Subtitle"/>
    <w:basedOn w:val="Title"/>
    <w:next w:val="BodyText"/>
    <w:link w:val="SubtitleChar"/>
    <w:uiPriority w:val="11"/>
    <w:qFormat/>
    <w:rsid w:val="00a10fd9"/>
    <w:pPr/>
    <w:rPr>
      <w:rFonts w:cs="" w:cstheme="majorBidi" w:eastAsia="" w:eastAsiaTheme="majorEastAsia"/>
      <w:spacing w:val="15"/>
      <w:sz w:val="28"/>
      <w:szCs w:val="28"/>
    </w:rPr>
  </w:style>
  <w:style w:customStyle="1" w:styleId="Author" w:type="paragraph">
    <w:name w:val="Author"/>
    <w:basedOn w:val="Title"/>
    <w:next w:val="BodyText"/>
    <w:qFormat/>
    <w:pPr>
      <w:keepNext w:val="true"/>
      <w:keepLines/>
    </w:pPr>
    <w:rPr>
      <w:sz w:val="24"/>
      <w:szCs w:val="24"/>
    </w:rPr>
  </w:style>
  <w:style w:styleId="Date" w:type="paragraph">
    <w:name w:val="Date"/>
    <w:basedOn w:val="Title"/>
    <w:next w:val="BodyText"/>
    <w:qFormat/>
    <w:pPr>
      <w:keepNext w:val="true"/>
      <w:keepLines/>
    </w:pPr>
    <w:rPr>
      <w:sz w:val="24"/>
      <w:szCs w:val="24"/>
    </w:rPr>
  </w:style>
  <w:style w:customStyle="1" w:styleId="AbstractTitle" w:type="paragraph">
    <w:name w:val="Abstract Title"/>
    <w:basedOn w:val="Normal"/>
    <w:next w:val="Abstract"/>
    <w:qFormat/>
    <w:pPr>
      <w:keepNext w:val="true"/>
      <w:keepLines/>
      <w:spacing w:after="0" w:before="300"/>
      <w:jc w:val="center"/>
    </w:pPr>
    <w:rPr>
      <w:b/>
      <w:sz w:val="20"/>
      <w:szCs w:val="20"/>
    </w:rPr>
  </w:style>
  <w:style w:customStyle="1" w:styleId="Abstract" w:type="paragraph">
    <w:name w:val="Abstract"/>
    <w:basedOn w:val="Normal"/>
    <w:next w:val="BodyText"/>
    <w:qFormat/>
    <w:pPr>
      <w:keepNext w:val="true"/>
      <w:keepLines/>
      <w:spacing w:after="300" w:before="100"/>
    </w:pPr>
    <w:rPr>
      <w:rFonts w:ascii="Gentium" w:hAnsi="Gentium"/>
      <w:sz w:val="20"/>
      <w:szCs w:val="20"/>
    </w:rPr>
  </w:style>
  <w:style w:styleId="Bibliography" w:type="paragraph">
    <w:name w:val="Bibliography"/>
    <w:basedOn w:val="Normal"/>
    <w:qFormat/>
    <w:pPr/>
    <w:rPr/>
  </w:style>
  <w:style w:styleId="BlockText" w:type="paragraph">
    <w:name w:val="Block Text"/>
    <w:basedOn w:val="BodyText"/>
    <w:next w:val="BodyText"/>
    <w:uiPriority w:val="9"/>
    <w:unhideWhenUsed/>
    <w:qFormat/>
    <w:pPr>
      <w:spacing w:after="100" w:before="100"/>
      <w:ind w:hanging="0" w:left="480" w:right="480"/>
    </w:pPr>
    <w:rPr/>
  </w:style>
  <w:style w:styleId="FootnoteText" w:type="paragraph">
    <w:name w:val="footnote text"/>
    <w:basedOn w:val="Normal"/>
    <w:uiPriority w:val="9"/>
    <w:unhideWhenUsed/>
    <w:qFormat/>
    <w:pPr/>
    <w:rPr>
      <w:rFonts w:ascii="Gentium" w:hAnsi="Gentium"/>
    </w:rPr>
  </w:style>
  <w:style w:styleId="FootnoteBlockText" w:type="paragraph">
    <w:name w:val="Footnote Block Text"/>
    <w:basedOn w:val="FootnoteText"/>
    <w:next w:val="FootnoteText"/>
    <w:uiPriority w:val="9"/>
    <w:unhideWhenUsed/>
    <w:qFormat/>
    <w:pPr>
      <w:spacing w:after="100" w:before="100"/>
      <w:ind w:hanging="0" w:left="480" w:right="480"/>
    </w:pPr>
    <w:rPr>
      <w:rFonts w:ascii="Gentium" w:hAnsi="Gentium"/>
    </w:rPr>
  </w:style>
  <w:style w:customStyle="1" w:styleId="DefinitionTerm" w:type="paragraph">
    <w:name w:val="Definition Term"/>
    <w:basedOn w:val="Normal"/>
    <w:next w:val="Definition"/>
    <w:qFormat/>
    <w:pPr>
      <w:keepNext w:val="true"/>
      <w:keepLines/>
      <w:spacing w:after="0" w:before="0"/>
    </w:pPr>
    <w:rPr>
      <w:rFonts w:ascii="Gentium" w:hAnsi="Gentium"/>
      <w:b/>
    </w:rPr>
  </w:style>
  <w:style w:customStyle="1" w:styleId="Definition" w:type="paragraph">
    <w:name w:val="Definition"/>
    <w:basedOn w:val="Normal"/>
    <w:qFormat/>
    <w:pPr>
      <w:ind w:left="475"/>
    </w:pPr>
    <w:rPr>
      <w:rFonts w:ascii="Gentium" w:hAnsi="Gentium"/>
    </w:rPr>
  </w:style>
  <w:style w:customStyle="1" w:styleId="TableCaption" w:type="paragraph">
    <w:name w:val="Table Caption"/>
    <w:basedOn w:val="Caption"/>
    <w:qFormat/>
    <w:pPr>
      <w:keepNext w:val="true"/>
    </w:pPr>
    <w:rPr/>
  </w:style>
  <w:style w:customStyle="1" w:styleId="ImageCaption" w:type="paragraph">
    <w:name w:val="Image Caption"/>
    <w:basedOn w:val="Caption"/>
    <w:qFormat/>
    <w:pPr/>
    <w:rPr/>
  </w:style>
  <w:style w:customStyle="1" w:styleId="Figure" w:type="paragraph">
    <w:name w:val="Figure"/>
    <w:basedOn w:val="Normal"/>
    <w:qFormat/>
    <w:pPr/>
    <w:rPr/>
  </w:style>
  <w:style w:customStyle="1" w:styleId="CaptionedFigure" w:type="paragraph">
    <w:name w:val="Captioned Figure"/>
    <w:basedOn w:val="Figure"/>
    <w:qFormat/>
    <w:pPr>
      <w:keepNext w:val="true"/>
    </w:pPr>
    <w:rPr/>
  </w:style>
  <w:style w:styleId="IndexHeading" w:type="paragraph">
    <w:name w:val="index heading"/>
    <w:basedOn w:val="Heading"/>
    <w:pPr/>
    <w:rPr/>
  </w:style>
  <w:style w:styleId="TOCHeading" w:type="paragraph">
    <w:name w:val="TOC Heading"/>
    <w:basedOn w:val="Heading1"/>
    <w:next w:val="BodyText"/>
    <w:uiPriority w:val="39"/>
    <w:unhideWhenUsed/>
    <w:qFormat/>
    <w:pPr>
      <w:spacing w:after="80" w:before="240" w:line="259" w:lineRule="auto"/>
      <w:outlineLvl w:val="9"/>
    </w:pPr>
    <w:rPr>
      <w:rFonts w:ascii="Aptos Display" w:asciiTheme="majorHAnsi" w:cs="" w:cstheme="majorBidi" w:eastAsia="" w:eastAsiaTheme="majorEastAsia" w:hAnsi="Aptos Display" w:hAnsiTheme="majorHAnsi"/>
      <w:b w:val="false"/>
      <w:bCs w:val="false"/>
      <w:color w:themeColor="accent1" w:themeShade="bf" w:val="365F91"/>
    </w:rPr>
  </w:style>
  <w:style w:styleId="Heading10" w:type="paragraph">
    <w:name w:val="Heading 10"/>
    <w:basedOn w:val="Heading"/>
    <w:next w:val="BodyText"/>
    <w:qFormat/>
    <w:pPr>
      <w:numPr>
        <w:ilvl w:val="8"/>
        <w:numId w:val="1"/>
      </w:numPr>
      <w:spacing w:after="60" w:before="60"/>
      <w:outlineLvl w:val="8"/>
    </w:pPr>
    <w:rPr>
      <w:b/>
      <w:bCs/>
      <w:sz w:val="18"/>
      <w:szCs w:val="18"/>
    </w:rPr>
  </w:style>
  <w:style w:styleId="BodyTextIndent" w:type="paragraph">
    <w:name w:val="Body Text Indent"/>
    <w:basedOn w:val="BodyText"/>
    <w:pPr>
      <w:ind w:hanging="0" w:left="283"/>
    </w:pPr>
    <w:rPr/>
  </w:style>
  <w:style w:styleId="BlockQuotationuser" w:type="paragraph">
    <w:name w:val="Block Quotation (user)"/>
    <w:basedOn w:val="Normal"/>
    <w:qFormat/>
    <w:pPr>
      <w:spacing w:after="283" w:before="0"/>
      <w:ind w:hanging="0" w:left="567" w:right="567"/>
    </w:pPr>
    <w:rPr>
      <w:rFonts w:ascii="Gentium" w:hAnsi="Gentium"/>
    </w:rPr>
  </w:style>
  <w:style w:default="1" w:styleId="Table" w:type="table">
    <w:name w:val="Table"/>
    <w:basedOn w:val="TableNormal"/>
    <w:semiHidden/>
    <w:unhideWhenUsed/>
    <w:qFormat/>
    <w:tblPr>
      <w:tblCellMar>
        <w:top w:type="dxa" w:w="0"/>
        <w:left w:type="dxa" w:w="108"/>
        <w:bottom w:type="dxa" w:w="0"/>
        <w:right w:type="dxa" w:w="108"/>
      </w:tblCellMar>
    </w:tblPr>
    <w:tblStylePr w:type="firstRow">
      <w:tblPr/>
      <w:tcPr>
        <w:tcBorders>
          <w:bottom w:val="single"/>
        </w:tcBorders>
        <w:vAlign w:val="bottom"/>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2" Target="https://dharmalekha.info/bibliography/entry/SharadaRani1957_01" TargetMode="External" /><Relationship Type="http://schemas.openxmlformats.org/officeDocument/2006/relationships/hyperlink" Id="rId13" Target="https://dharmalekha.info/bibliography/entry/Zoetmulder1982_01" TargetMode="External" /><Relationship Type="http://schemas.openxmlformats.org/officeDocument/2006/relationships/hyperlink" Id="rId10" Target="https://dharmalekha.info/texts/INSIDENKKawali_1a" TargetMode="External" /><Relationship Type="http://schemas.openxmlformats.org/officeDocument/2006/relationships/hyperlink" Id="rId9" Target="https://dharmalekha.info/texts/INSIDENKKebantenan_1" TargetMode="External" /><Relationship Type="http://schemas.openxmlformats.org/officeDocument/2006/relationships/hyperlink" Id="rId11" Target="https://dharmalekha.info/texts/INSIDENKLinggawangi" TargetMode="External" /></Relationships>
</file>

<file path=word/_rels/footnotes.xml.rels><?xml version="1.0" encoding="UTF-8"?><Relationships xmlns="http://schemas.openxmlformats.org/package/2006/relationships"><Relationship Type="http://schemas.openxmlformats.org/officeDocument/2006/relationships/hyperlink" Id="rId12" Target="https://dharmalekha.info/bibliography/entry/SharadaRani1957_01" TargetMode="External" /><Relationship Type="http://schemas.openxmlformats.org/officeDocument/2006/relationships/hyperlink" Id="rId13" Target="https://dharmalekha.info/bibliography/entry/Zoetmulder1982_01" TargetMode="External" /><Relationship Type="http://schemas.openxmlformats.org/officeDocument/2006/relationships/hyperlink" Id="rId10" Target="https://dharmalekha.info/texts/INSIDENKKawali_1a" TargetMode="External" /><Relationship Type="http://schemas.openxmlformats.org/officeDocument/2006/relationships/hyperlink" Id="rId9" Target="https://dharmalekha.info/texts/INSIDENKKebantenan_1" TargetMode="External" /><Relationship Type="http://schemas.openxmlformats.org/officeDocument/2006/relationships/hyperlink" Id="rId11" Target="https://dharmalekha.info/texts/INSIDENKLinggawangi" TargetMode="Externa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45</TotalTime>
  <Application>LibreOffice/26.2.6.3$Linux_X86_64 LibreOffice_project/620$Build-3</Application>
  <AppVersion>15.0000</AppVersion>
  <Pages>2</Pages>
  <Words>60</Words>
  <Characters>366</Characters>
  <CharactersWithSpaces>396</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Huludayeuh</dc:title>
  <dc:creator>Aditia Gunawan and Arlo Griffiths</dc:creator>
  <cp:keywords/>
  <dcterms:created xsi:type="dcterms:W3CDTF">2026-10-26T19:58:04Z</dcterms:created>
  <dcterms:modified xsi:type="dcterms:W3CDTF">2026-10-26T19:58:04Z</dcterms:modified>
</cp:coreProperties>
</file>

<file path=docProps/custom.xml><?xml version="1.0" encoding="utf-8"?>
<Properties xmlns="http://schemas.openxmlformats.org/officeDocument/2006/custom-properties" xmlns:vt="http://schemas.openxmlformats.org/officeDocument/2006/docPropsVTypes"/>
</file>