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 369. Stone from Kebonkopi (932 CE)</w:t>
      </w:r>
    </w:p>
    <w:p>
      <w:pPr>
        <w:pStyle w:val="Author"/>
      </w:pPr>
      <w:r>
        <w:t xml:space="preserve">Arlo Griffiths</w:t>
      </w:r>
    </w:p>
    <w:p>
      <w:pPr>
        <w:pStyle w:val="FirstParagraph"/>
      </w:pPr>
      <w:r>
        <w:t xml:space="preserve">Author of digital edition: Arlo Griffiths</w:t>
      </w:r>
    </w:p>
    <w:p>
      <w:pPr>
        <w:pStyle w:val="BodyText"/>
      </w:pPr>
      <w:r>
        <w:t xml:space="preserve">Identifier: DHARMA_INSIDENK00369</w:t>
      </w:r>
    </w:p>
    <w:p>
      <w:pPr>
        <w:pStyle w:val="BodyText"/>
      </w:pPr>
      <w:r>
        <w:t xml:space="preserve">Repository: Nusantara Epigraphy (tfc-nusantara-epigraphy)</w:t>
      </w:r>
    </w:p>
    <w:p>
      <w:pPr>
        <w:pStyle w:val="BodyText"/>
      </w:pPr>
      <w:r>
        <w:t xml:space="preserve">File path: xml/DHARMA_INSIDENK00369.xml</w:t>
      </w:r>
    </w:p>
    <w:p>
      <w:pPr>
        <w:pStyle w:val="BodyText"/>
      </w:pPr>
      <w:r>
        <w:t xml:space="preserve">Language: Old Malay [Kawi]</w:t>
      </w:r>
    </w:p>
    <w:p>
      <w:pPr>
        <w:pStyle w:val="BodyText"/>
      </w:pPr>
      <w:r>
        <w:t xml:space="preserve">Commit: 2026-09-25 06:15 (19d0d3f), last modified 2026-09-09 14:27 (72454d8)</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t xml:space="preserve">∥ Ini saśakalānda rākryañ juru paṅā</w:t>
      </w:r>
      <w:r>
        <w:rPr>
          <w:rStyle w:val="ColorGray"/>
        </w:rPr>
        <w:t xml:space="preserve">⟨2⟩</w:t>
      </w:r>
      <w:r>
        <w:t xml:space="preserve">mbat i kavi hāji pañca pasāgi masā</w:t>
      </w:r>
      <w:r>
        <w:rPr>
          <w:rStyle w:val="ColorGray"/>
        </w:rPr>
        <w:t xml:space="preserve">⟨3⟩</w:t>
      </w:r>
      <w:r>
        <w:t xml:space="preserve">ndeśa ba(r)puliḥkan· hāji su</w:t>
      </w:r>
      <w:r>
        <w:rPr>
          <w:rStyle w:val="ColorGray"/>
        </w:rPr>
        <w:t xml:space="preserve">⟨4⟩</w:t>
      </w:r>
      <w:r>
        <w:t xml:space="preserve">nda ∥</w:t>
      </w:r>
    </w:p>
    <w:p>
      <w:pPr>
        <w:pStyle w:val="Heading1"/>
      </w:pPr>
      <w:r>
        <w:t xml:space="preserve">Apparatus</w:t>
      </w:r>
    </w:p>
    <w:p>
      <w:pPr>
        <w:pStyle w:val="FirstParagraph"/>
      </w:pPr>
      <w:r>
        <w:rPr>
          <w:rStyle w:val="ColorGray"/>
        </w:rPr>
        <w:t xml:space="preserve">⟨1⟩</w:t>
      </w:r>
      <w:r>
        <w:t xml:space="preserve"> </w:t>
      </w:r>
      <w:r>
        <w:t xml:space="preserve">Ini B H • Or read</w:t>
      </w:r>
      <w:r>
        <w:t xml:space="preserve"> </w:t>
      </w:r>
      <w:r>
        <w:rPr>
          <w:i/>
          <w:iCs/>
        </w:rPr>
        <w:t xml:space="preserve">Iri</w:t>
      </w:r>
      <w:r>
        <w:t xml:space="preserve">?</w:t>
      </w:r>
      <w:r>
        <w:t xml:space="preserve"> </w:t>
      </w:r>
      <w:r>
        <w:rPr>
          <w:i/>
          <w:iCs/>
        </w:rPr>
        <w:t xml:space="preserve">Iti</w:t>
      </w:r>
      <w:r>
        <w:t xml:space="preserve">?</w:t>
      </w:r>
    </w:p>
    <w:p>
      <w:pPr>
        <w:pStyle w:val="BodyText"/>
      </w:pPr>
      <w:r>
        <w:rPr>
          <w:rStyle w:val="ColorGray"/>
        </w:rPr>
        <w:t xml:space="preserve">⟨2⟩</w:t>
      </w:r>
      <w:r>
        <w:t xml:space="preserve"> </w:t>
      </w:r>
      <w:r>
        <w:t xml:space="preserve">saśakalānda H ⬦</w:t>
      </w:r>
      <w:r>
        <w:t xml:space="preserve"> </w:t>
      </w:r>
      <w:r>
        <w:rPr>
          <w:rStyle w:val="ColorGreen"/>
          <w:i/>
          <w:iCs/>
        </w:rPr>
        <w:t xml:space="preserve">sa(bd)akalānda</w:t>
      </w:r>
      <w:r>
        <w:t xml:space="preserve"> </w:t>
      </w:r>
      <w:r>
        <w:t xml:space="preserve">B • Or</w:t>
      </w:r>
      <w:r>
        <w:t xml:space="preserve"> </w:t>
      </w:r>
      <w:r>
        <w:rPr>
          <w:i/>
          <w:iCs/>
        </w:rPr>
        <w:t xml:space="preserve">sakhakalānda</w:t>
      </w:r>
      <w:r>
        <w:t xml:space="preserve">? —</w:t>
      </w:r>
      <w:r>
        <w:t xml:space="preserve"> </w:t>
      </w:r>
      <w:r>
        <w:rPr>
          <w:rStyle w:val="ColorGray"/>
        </w:rPr>
        <w:t xml:space="preserve">⟨2⟩</w:t>
      </w:r>
      <w:r>
        <w:t xml:space="preserve"> </w:t>
      </w:r>
      <w:r>
        <w:t xml:space="preserve">pasāgi B ⬦</w:t>
      </w:r>
      <w:r>
        <w:t xml:space="preserve"> </w:t>
      </w:r>
      <w:r>
        <w:rPr>
          <w:rStyle w:val="ColorGreen"/>
          <w:i/>
          <w:iCs/>
        </w:rPr>
        <w:t xml:space="preserve">pasagi</w:t>
      </w:r>
      <w:r>
        <w:t xml:space="preserve"> </w:t>
      </w:r>
      <w:r>
        <w:t xml:space="preserve">H • Can we read</w:t>
      </w:r>
      <w:r>
        <w:t xml:space="preserve"> </w:t>
      </w:r>
      <w:r>
        <w:rPr>
          <w:i/>
          <w:iCs/>
        </w:rPr>
        <w:t xml:space="preserve">pasārgi</w:t>
      </w:r>
      <w:r>
        <w:t xml:space="preserve">? —</w:t>
      </w:r>
      <w:r>
        <w:t xml:space="preserve"> </w:t>
      </w:r>
      <w:r>
        <w:rPr>
          <w:rStyle w:val="ColorGray"/>
        </w:rPr>
        <w:t xml:space="preserve">⟨2⟩</w:t>
      </w:r>
      <w:r>
        <w:t xml:space="preserve"> </w:t>
      </w:r>
      <w:r>
        <w:t xml:space="preserve">masāndeśa H ⬦</w:t>
      </w:r>
      <w:r>
        <w:t xml:space="preserve"> </w:t>
      </w:r>
      <w:r>
        <w:rPr>
          <w:rStyle w:val="ColorGreen"/>
          <w:i/>
          <w:iCs/>
        </w:rPr>
        <w:t xml:space="preserve">marsāndeśa</w:t>
      </w:r>
      <w:r>
        <w:t xml:space="preserve"> </w:t>
      </w:r>
      <w:r>
        <w:t xml:space="preserve">B.</w:t>
      </w:r>
    </w:p>
    <w:p>
      <w:pPr>
        <w:pStyle w:val="BodyText"/>
      </w:pPr>
      <w:r>
        <w:rPr>
          <w:rStyle w:val="ColorGray"/>
        </w:rPr>
        <w:t xml:space="preserve">⟨3⟩</w:t>
      </w:r>
      <w:r>
        <w:t xml:space="preserve"> </w:t>
      </w:r>
      <w:r>
        <w:t xml:space="preserve">su</w:t>
      </w:r>
      <w:r>
        <w:rPr>
          <w:rStyle w:val="ColorGray"/>
        </w:rPr>
        <w:t xml:space="preserve">⟨4⟩</w:t>
      </w:r>
      <w:r>
        <w:t xml:space="preserve">nda B H • Or read</w:t>
      </w:r>
      <w:r>
        <w:t xml:space="preserve"> </w:t>
      </w:r>
      <w:r>
        <w:rPr>
          <w:i/>
          <w:iCs/>
        </w:rPr>
        <w:t xml:space="preserve">sunḍa</w:t>
      </w:r>
      <w:r>
        <w:t xml:space="preserve">?</w:t>
      </w:r>
    </w:p>
    <w:p>
      <w:pPr>
        <w:pStyle w:val="Heading1"/>
      </w:pPr>
      <w:r>
        <w:t xml:space="preserve">Translation</w:t>
      </w:r>
    </w:p>
    <w:p>
      <w:pPr>
        <w:pStyle w:val="FirstParagraph"/>
      </w:pPr>
      <w:r>
        <w:t xml:space="preserve">This is the memorial of</w:t>
      </w:r>
      <w:r>
        <w:t xml:space="preserve"> </w:t>
      </w:r>
      <w:r>
        <w:rPr>
          <w:i/>
          <w:iCs/>
        </w:rPr>
        <w:t xml:space="preserve">rakryān juru</w:t>
      </w:r>
      <w:r>
        <w:t xml:space="preserve"> </w:t>
      </w:r>
      <w:r>
        <w:t xml:space="preserve">Paṅambat who, in (a year that can be expressed as) royal poet, five, square (i.e., in the year 854 Śaka) ordered to bring the Sunda king home.</w:t>
      </w:r>
    </w:p>
    <w:p>
      <w:pPr>
        <w:pStyle w:val="Heading1"/>
      </w:pPr>
      <w:r>
        <w:t xml:space="preserve">Translation into Dutch by Bosch 1941</w:t>
      </w:r>
    </w:p>
    <w:p>
      <w:pPr>
        <w:pStyle w:val="FirstParagraph"/>
      </w:pPr>
      <w:r>
        <w:t xml:space="preserve">Dit is het gedenkstuk (houdende) het bevel van den Rakryan Juru Pangambat (uitgevaardigd) in (het jaar) 854 (942 A.D.) en verordineerend, dat de vorst van Sunda in zijn vroegeren staat zal worden hersteld.</w:t>
      </w:r>
    </w:p>
    <w:p>
      <w:pPr>
        <w:pStyle w:val="Heading1"/>
      </w:pPr>
      <w:r>
        <w:t xml:space="preserve">Commentary</w:t>
      </w:r>
    </w:p>
    <w:p>
      <w:pPr>
        <w:pStyle w:val="FirstParagraph"/>
      </w:pPr>
      <w:r>
        <w:t xml:space="preserve">Bosch (1941, p. 49) reported that the stone on which this inscription is engraved was reported to the Dutch Archaelogical Service as standing on the edge of a paddy field in the</w:t>
      </w:r>
      <w:r>
        <w:t xml:space="preserve"> </w:t>
      </w:r>
      <w:r>
        <w:rPr>
          <w:i/>
          <w:iCs/>
        </w:rPr>
        <w:t xml:space="preserve">desa</w:t>
      </w:r>
      <w:r>
        <w:t xml:space="preserve"> </w:t>
      </w:r>
      <w:r>
        <w:t xml:space="preserve">Kebon Kopi (Leuwiliang, Buitenzorg), near the location of wellknown inscription of King Purnawarman. It has subsequently gone missing and its whereabouts are unknown since many decades.</w:t>
      </w:r>
    </w:p>
    <w:p>
      <w:pPr>
        <w:pStyle w:val="BodyText"/>
      </w:pPr>
      <w:r>
        <w:t xml:space="preserve">The reading of the text is still to uncertain on too many points to propose a translation with any degree of confidence. The expression</w:t>
      </w:r>
      <w:r>
        <w:t xml:space="preserve"> </w:t>
      </w:r>
      <w:r>
        <w:rPr>
          <w:i/>
          <w:iCs/>
        </w:rPr>
        <w:t xml:space="preserve">kavi haji</w:t>
      </w:r>
      <w:r>
        <w:t xml:space="preserve">, here apparently expressing the number 8, is reminiscent of</w:t>
      </w:r>
      <w:r>
        <w:t xml:space="preserve"> </w:t>
      </w:r>
      <w:r>
        <w:rPr>
          <w:i/>
          <w:iCs/>
        </w:rPr>
        <w:t xml:space="preserve">viku haji</w:t>
      </w:r>
      <w:r>
        <w:t xml:space="preserve"> </w:t>
      </w:r>
      <w:r>
        <w:t xml:space="preserve">in chapter 4 of the</w:t>
      </w:r>
      <w:r>
        <w:t xml:space="preserve"> </w:t>
      </w:r>
      <w:hyperlink r:id="rId9">
        <w:r>
          <w:rPr>
            <w:rStyle w:val="Hyperlink"/>
          </w:rPr>
          <w:t xml:space="preserve">Siksa Kandaṅ Karəsian</w:t>
        </w:r>
      </w:hyperlink>
      <w:r>
        <w:t xml:space="preserve">.</w:t>
      </w:r>
    </w:p>
    <w:p>
      <w:pPr>
        <w:pStyle w:val="Heading1"/>
      </w:pPr>
      <w:r>
        <w:t xml:space="preserve">Bibliography</w:t>
      </w:r>
    </w:p>
    <w:p>
      <w:pPr>
        <w:pStyle w:val="FirstParagraph"/>
      </w:pPr>
      <w:r>
        <w:t xml:space="preserve">Edited by Bosch (1941); revised by Hasan Djafar (1991). This digitial edition offers only slight precisions (addition of one</w:t>
      </w:r>
      <w:r>
        <w:t xml:space="preserve"> </w:t>
      </w:r>
      <w:r>
        <w:rPr>
          <w:i/>
          <w:iCs/>
        </w:rPr>
        <w:t xml:space="preserve">virāma</w:t>
      </w:r>
      <w:r>
        <w:t xml:space="preserve"> </w:t>
      </w:r>
      <w:r>
        <w:t xml:space="preserve">and punctuation, specification of initial vowel as</w:t>
      </w:r>
      <w:r>
        <w:t xml:space="preserve"> </w:t>
      </w:r>
      <w:r>
        <w:rPr>
          <w:i/>
          <w:iCs/>
        </w:rPr>
        <w:t xml:space="preserve">akṣara</w:t>
      </w:r>
      <w:r>
        <w:t xml:space="preserve"> </w:t>
      </w:r>
      <w:r>
        <w:t xml:space="preserve">vowel) and choices of reading have been made based on the same photo</w:t>
      </w:r>
      <w:r>
        <w:t xml:space="preserve"> </w:t>
      </w:r>
      <w:hyperlink r:id="rId10">
        <w:r>
          <w:rPr>
            <w:rStyle w:val="Hyperlink"/>
          </w:rPr>
          <w:t xml:space="preserve">OD 6888</w:t>
        </w:r>
      </w:hyperlink>
      <w:r>
        <w:t xml:space="preserve"> </w:t>
      </w:r>
      <w:r>
        <w:t xml:space="preserve">that was used also by Bosch and Hasan Djafar. The photo is of somewhat mediocre quality, so the edition cannot presently be verified any further. The OD estampage 2614 is not accessible.</w:t>
      </w:r>
    </w:p>
    <w:p>
      <w:pPr>
        <w:pStyle w:val="Heading2"/>
      </w:pPr>
      <w:r>
        <w:t xml:space="preserve">Primary</w:t>
      </w:r>
    </w:p>
    <w:p>
      <w:pPr>
        <w:pStyle w:val="FirstParagraph"/>
      </w:pPr>
      <w:r>
        <w:rPr>
          <w:b/>
          <w:bCs/>
        </w:rPr>
        <w:t xml:space="preserve">[B]</w:t>
      </w:r>
      <w:r>
        <w:t xml:space="preserve"> </w:t>
      </w:r>
      <w:r>
        <w:t xml:space="preserve">Bosch, Frederik David Kan. 1941. “Een Maleische inscriptie in het Buitenzorgsche.” BKI 100 (1), pp. 49–53. DOI:</w:t>
      </w:r>
      <w:r>
        <w:t xml:space="preserve"> </w:t>
      </w:r>
      <w:hyperlink r:id="rId11">
        <w:r>
          <w:rPr>
            <w:rStyle w:val="Hyperlink"/>
          </w:rPr>
          <w:t xml:space="preserve">10.1163/22134379-90001267</w:t>
        </w:r>
      </w:hyperlink>
      <w:r>
        <w:t xml:space="preserve">.</w:t>
      </w:r>
      <w:r>
        <w:t xml:space="preserve"> </w:t>
      </w:r>
      <w:hyperlink r:id="rId12">
        <w:r>
          <w:rPr>
            <w:rStyle w:val="Hyperlink"/>
          </w:rPr>
          <w:t xml:space="preserve">[URL]</w:t>
        </w:r>
      </w:hyperlink>
      <w:r>
        <w:t xml:space="preserve">.</w:t>
      </w:r>
    </w:p>
    <w:p>
      <w:pPr>
        <w:pStyle w:val="BodyText"/>
      </w:pPr>
      <w:r>
        <w:rPr>
          <w:b/>
          <w:bCs/>
        </w:rPr>
        <w:t xml:space="preserve">[H]</w:t>
      </w:r>
      <w:r>
        <w:t xml:space="preserve"> </w:t>
      </w:r>
      <w:r>
        <w:t xml:space="preserve">Hasan Djafar. 1991. “Prasasti-prasasti dari masa kerajaan-kerajaan Sunda.” In:</w:t>
      </w:r>
      <w:r>
        <w:t xml:space="preserve"> </w:t>
      </w:r>
      <w:r>
        <w:rPr>
          <w:i/>
          <w:iCs/>
        </w:rPr>
        <w:t xml:space="preserve">Seminar nasional sastra dan sejarah Pakuan Pajajaran: Proceedings</w:t>
      </w:r>
      <w:r>
        <w:t xml:space="preserve">. Bogor: Universitas Pakuan Bogor dan Yayasan Pembangunan Jawa Barat, pp. 1–35. Pages 24–25.</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http://hdl.handle.net/1887.1/item:4103201" TargetMode="External" /><Relationship Type="http://schemas.openxmlformats.org/officeDocument/2006/relationships/hyperlink" Id="rId12" Target="https://brill.com/view/journals/bki/100/1/article-p49_5.xml" TargetMode="External" /><Relationship Type="http://schemas.openxmlformats.org/officeDocument/2006/relationships/hyperlink" Id="rId9" Target="https://dharmalekha.info/texts/CritEdSiksaKandangKaresian" TargetMode="External" /><Relationship Type="http://schemas.openxmlformats.org/officeDocument/2006/relationships/hyperlink" Id="rId11" Target="https://doi.org/10.1163/22134379-90001267" TargetMode="External" /></Relationships>
</file>

<file path=word/_rels/footnotes.xml.rels><?xml version="1.0" encoding="UTF-8"?><Relationships xmlns="http://schemas.openxmlformats.org/package/2006/relationships"><Relationship Type="http://schemas.openxmlformats.org/officeDocument/2006/relationships/hyperlink" Id="rId10" Target="http://hdl.handle.net/1887.1/item:4103201" TargetMode="External" /><Relationship Type="http://schemas.openxmlformats.org/officeDocument/2006/relationships/hyperlink" Id="rId12" Target="https://brill.com/view/journals/bki/100/1/article-p49_5.xml" TargetMode="External" /><Relationship Type="http://schemas.openxmlformats.org/officeDocument/2006/relationships/hyperlink" Id="rId9" Target="https://dharmalekha.info/texts/CritEdSiksaKandangKaresian" TargetMode="External" /><Relationship Type="http://schemas.openxmlformats.org/officeDocument/2006/relationships/hyperlink" Id="rId11" Target="https://doi.org/10.1163/22134379-90001267"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369. Stone from Kebonkopi (932 CE)</dc:title>
  <dc:creator>Arlo Griffiths</dc:creator>
  <cp:keywords/>
  <dcterms:created xsi:type="dcterms:W3CDTF">2026-10-26T16:57:54Z</dcterms:created>
  <dcterms:modified xsi:type="dcterms:W3CDTF">2026-10-26T16:57:54Z</dcterms:modified>
</cp:coreProperties>
</file>

<file path=docProps/custom.xml><?xml version="1.0" encoding="utf-8"?>
<Properties xmlns="http://schemas.openxmlformats.org/officeDocument/2006/custom-properties" xmlns:vt="http://schemas.openxmlformats.org/officeDocument/2006/docPropsVTypes"/>
</file>